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25614" w:rsidRPr="00A82AF3" w:rsidRDefault="008F6820" w:rsidP="00B25614">
      <w:pPr>
        <w:spacing w:line="228" w:lineRule="auto"/>
        <w:jc w:val="both"/>
        <w:rPr>
          <w:spacing w:val="-4"/>
          <w:sz w:val="22"/>
          <w:szCs w:val="22"/>
          <w:lang w:val="fr-FR"/>
        </w:rPr>
      </w:pPr>
      <w:r>
        <w:fldChar w:fldCharType="begin"/>
      </w:r>
      <w:r>
        <w:instrText xml:space="preserve"> HYPERLINK "http://www.linguee.com/french-english/translation/deuxi%C3%A8me.html" </w:instrText>
      </w:r>
      <w:r>
        <w:fldChar w:fldCharType="separate"/>
      </w:r>
      <w:r w:rsidR="00B25614" w:rsidRPr="00A82AF3">
        <w:rPr>
          <w:rStyle w:val="Link"/>
          <w:color w:val="auto"/>
          <w:spacing w:val="-4"/>
          <w:sz w:val="22"/>
          <w:szCs w:val="22"/>
          <w:u w:val="none"/>
          <w:lang w:val="fr-FR"/>
        </w:rPr>
        <w:t>Deuxième</w:t>
      </w:r>
      <w:r>
        <w:rPr>
          <w:rStyle w:val="Link"/>
          <w:color w:val="auto"/>
          <w:spacing w:val="-4"/>
          <w:sz w:val="22"/>
          <w:szCs w:val="22"/>
          <w:u w:val="none"/>
          <w:lang w:val="fr-FR"/>
        </w:rPr>
        <w:fldChar w:fldCharType="end"/>
      </w:r>
      <w:r w:rsidR="00B25614" w:rsidRPr="00A82AF3">
        <w:rPr>
          <w:spacing w:val="-4"/>
          <w:sz w:val="22"/>
          <w:szCs w:val="22"/>
          <w:lang w:val="fr-FR"/>
        </w:rPr>
        <w:t xml:space="preserve"> Réunion des </w:t>
      </w:r>
      <w:r w:rsidR="00B25614" w:rsidRPr="00A82AF3">
        <w:rPr>
          <w:bCs/>
          <w:spacing w:val="-4"/>
          <w:sz w:val="22"/>
          <w:szCs w:val="22"/>
          <w:lang w:val="fr-FR"/>
        </w:rPr>
        <w:t>Signataires</w:t>
      </w:r>
    </w:p>
    <w:p w:rsidR="00B25614" w:rsidRPr="00A82AF3" w:rsidRDefault="00B25614" w:rsidP="00B25614">
      <w:pPr>
        <w:spacing w:line="228" w:lineRule="auto"/>
        <w:jc w:val="both"/>
        <w:rPr>
          <w:iCs/>
          <w:sz w:val="22"/>
          <w:szCs w:val="22"/>
          <w:lang w:val="fr-FR"/>
        </w:rPr>
      </w:pPr>
      <w:r w:rsidRPr="00A82AF3">
        <w:rPr>
          <w:bCs/>
          <w:sz w:val="22"/>
          <w:szCs w:val="22"/>
          <w:lang w:val="fr-FR"/>
        </w:rPr>
        <w:t xml:space="preserve">San José, Costa Rica, 15-19 </w:t>
      </w:r>
      <w:hyperlink r:id="rId9" w:history="1">
        <w:r w:rsidRPr="00A82AF3">
          <w:rPr>
            <w:rStyle w:val="Link"/>
            <w:bCs/>
            <w:color w:val="auto"/>
            <w:sz w:val="22"/>
            <w:szCs w:val="22"/>
            <w:u w:val="none"/>
            <w:lang w:val="fr-FR"/>
          </w:rPr>
          <w:t>février</w:t>
        </w:r>
      </w:hyperlink>
      <w:r w:rsidRPr="00A82AF3">
        <w:rPr>
          <w:bCs/>
          <w:sz w:val="22"/>
          <w:szCs w:val="22"/>
          <w:lang w:val="fr-FR"/>
        </w:rPr>
        <w:t xml:space="preserve"> 2016</w:t>
      </w:r>
    </w:p>
    <w:p w:rsidR="00B25614" w:rsidRPr="00A82AF3" w:rsidRDefault="00B25614" w:rsidP="00B25614">
      <w:pPr>
        <w:jc w:val="both"/>
        <w:rPr>
          <w:sz w:val="22"/>
          <w:szCs w:val="22"/>
          <w:lang w:val="fr-FR"/>
        </w:rPr>
      </w:pPr>
      <w:r w:rsidRPr="00A82AF3">
        <w:rPr>
          <w:bCs/>
          <w:sz w:val="22"/>
          <w:szCs w:val="22"/>
          <w:lang w:val="fr-FR"/>
        </w:rPr>
        <w:t xml:space="preserve">Point </w:t>
      </w:r>
      <w:r w:rsidR="00080E47" w:rsidRPr="00A82AF3">
        <w:rPr>
          <w:sz w:val="22"/>
          <w:szCs w:val="22"/>
          <w:lang w:val="fr-FR"/>
        </w:rPr>
        <w:t>11</w:t>
      </w:r>
      <w:r w:rsidRPr="00A82AF3">
        <w:rPr>
          <w:sz w:val="22"/>
          <w:szCs w:val="22"/>
          <w:lang w:val="fr-FR"/>
        </w:rPr>
        <w:t xml:space="preserve"> </w:t>
      </w:r>
      <w:r w:rsidRPr="00A82AF3">
        <w:rPr>
          <w:bCs/>
          <w:sz w:val="22"/>
          <w:szCs w:val="22"/>
          <w:lang w:val="fr-FR"/>
        </w:rPr>
        <w:t>de l’ordre du jour</w:t>
      </w:r>
    </w:p>
    <w:p w:rsidR="00B25614" w:rsidRPr="00A82AF3" w:rsidRDefault="00B25614" w:rsidP="00B25614">
      <w:pPr>
        <w:jc w:val="both"/>
        <w:rPr>
          <w:sz w:val="22"/>
          <w:szCs w:val="22"/>
          <w:lang w:val="fr-FR"/>
        </w:rPr>
      </w:pPr>
    </w:p>
    <w:p w:rsidR="00B25614" w:rsidRPr="00A82AF3" w:rsidRDefault="00B25614" w:rsidP="00B25614">
      <w:pPr>
        <w:jc w:val="both"/>
        <w:rPr>
          <w:sz w:val="22"/>
          <w:szCs w:val="22"/>
          <w:lang w:val="fr-FR"/>
        </w:rPr>
      </w:pPr>
    </w:p>
    <w:p w:rsidR="00B25614" w:rsidRPr="00A82AF3" w:rsidRDefault="00B25614" w:rsidP="00B25614">
      <w:pPr>
        <w:jc w:val="both"/>
        <w:rPr>
          <w:sz w:val="22"/>
          <w:szCs w:val="22"/>
          <w:lang w:val="fr-FR"/>
        </w:rPr>
      </w:pPr>
    </w:p>
    <w:p w:rsidR="00080E47" w:rsidRPr="00A82AF3" w:rsidRDefault="00080E47" w:rsidP="00080E47">
      <w:pPr>
        <w:jc w:val="center"/>
        <w:rPr>
          <w:b/>
          <w:bCs/>
          <w:sz w:val="24"/>
          <w:lang w:val="fr-FR"/>
        </w:rPr>
      </w:pPr>
      <w:r w:rsidRPr="00A82AF3">
        <w:rPr>
          <w:b/>
          <w:bCs/>
          <w:sz w:val="24"/>
          <w:lang w:val="fr-FR"/>
        </w:rPr>
        <w:t xml:space="preserve">PROJET DE </w:t>
      </w:r>
      <w:r w:rsidR="00A82AF3" w:rsidRPr="00A82AF3">
        <w:rPr>
          <w:b/>
          <w:bCs/>
          <w:sz w:val="24"/>
          <w:lang w:val="fr-FR"/>
        </w:rPr>
        <w:t>MANDAT</w:t>
      </w:r>
      <w:r w:rsidRPr="00A82AF3">
        <w:rPr>
          <w:b/>
          <w:bCs/>
          <w:sz w:val="24"/>
          <w:lang w:val="fr-FR"/>
        </w:rPr>
        <w:t xml:space="preserve"> POUR LES PARTENAIRES COOPÉRANTS </w:t>
      </w:r>
    </w:p>
    <w:p w:rsidR="00080E47" w:rsidRPr="00A82AF3" w:rsidRDefault="00080E47" w:rsidP="00080E47">
      <w:pPr>
        <w:jc w:val="center"/>
        <w:rPr>
          <w:b/>
          <w:bCs/>
          <w:sz w:val="24"/>
          <w:lang w:val="fr-FR"/>
        </w:rPr>
      </w:pPr>
    </w:p>
    <w:p w:rsidR="00080E47" w:rsidRPr="00A82AF3" w:rsidRDefault="00080E47" w:rsidP="00080E47">
      <w:pPr>
        <w:rPr>
          <w:b/>
          <w:bCs/>
          <w:sz w:val="24"/>
          <w:lang w:val="fr-FR"/>
        </w:rPr>
      </w:pPr>
    </w:p>
    <w:p w:rsidR="00080E47" w:rsidRPr="00A82AF3" w:rsidRDefault="00080E47" w:rsidP="00080E47">
      <w:pPr>
        <w:spacing w:after="120"/>
        <w:rPr>
          <w:b/>
          <w:bCs/>
          <w:sz w:val="24"/>
          <w:lang w:val="fr-FR"/>
        </w:rPr>
      </w:pPr>
      <w:r w:rsidRPr="00A82AF3">
        <w:rPr>
          <w:b/>
          <w:bCs/>
          <w:sz w:val="24"/>
          <w:lang w:val="fr-FR"/>
        </w:rPr>
        <w:t>Objectif général</w:t>
      </w:r>
    </w:p>
    <w:p w:rsidR="00080E47" w:rsidRPr="00A82AF3" w:rsidRDefault="00CA2570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20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Créer</w:t>
      </w:r>
      <w:r w:rsidR="00080E47" w:rsidRPr="00A82AF3">
        <w:rPr>
          <w:sz w:val="24"/>
          <w:lang w:val="fr-FR"/>
        </w:rPr>
        <w:t xml:space="preserve"> de</w:t>
      </w:r>
      <w:r w:rsidRPr="00A82AF3">
        <w:rPr>
          <w:sz w:val="24"/>
          <w:lang w:val="fr-FR"/>
        </w:rPr>
        <w:t xml:space="preserve"> nouvelle</w:t>
      </w:r>
      <w:r w:rsidR="00080E47" w:rsidRPr="00A82AF3">
        <w:rPr>
          <w:sz w:val="24"/>
          <w:lang w:val="fr-FR"/>
        </w:rPr>
        <w:t>s synergies</w:t>
      </w:r>
      <w:r w:rsidRPr="00A82AF3">
        <w:rPr>
          <w:sz w:val="24"/>
          <w:lang w:val="fr-FR"/>
        </w:rPr>
        <w:t xml:space="preserve"> </w:t>
      </w:r>
      <w:r w:rsidR="00080E47" w:rsidRPr="00A82AF3">
        <w:rPr>
          <w:sz w:val="24"/>
          <w:lang w:val="fr-FR"/>
        </w:rPr>
        <w:t xml:space="preserve">et coordonner </w:t>
      </w:r>
      <w:r w:rsidRPr="00A82AF3">
        <w:rPr>
          <w:sz w:val="24"/>
          <w:lang w:val="fr-FR"/>
        </w:rPr>
        <w:t>l</w:t>
      </w:r>
      <w:r w:rsidR="00080E47" w:rsidRPr="00A82AF3">
        <w:rPr>
          <w:sz w:val="24"/>
          <w:lang w:val="fr-FR"/>
        </w:rPr>
        <w:t xml:space="preserve">es actions en collaborant avec des partenaires coopérants </w:t>
      </w:r>
      <w:r w:rsidRPr="00A82AF3">
        <w:rPr>
          <w:sz w:val="24"/>
          <w:lang w:val="fr-FR"/>
        </w:rPr>
        <w:t>afin d’</w:t>
      </w:r>
      <w:r w:rsidR="00080E47" w:rsidRPr="00A82AF3">
        <w:rPr>
          <w:sz w:val="24"/>
          <w:lang w:val="fr-FR"/>
        </w:rPr>
        <w:t xml:space="preserve">atteindre le but commun </w:t>
      </w:r>
      <w:r w:rsidR="00A82AF3">
        <w:rPr>
          <w:sz w:val="24"/>
          <w:lang w:val="fr-FR"/>
        </w:rPr>
        <w:t>d’obtenir</w:t>
      </w:r>
      <w:r w:rsidRPr="00A82AF3">
        <w:rPr>
          <w:sz w:val="24"/>
          <w:lang w:val="fr-FR"/>
        </w:rPr>
        <w:t xml:space="preserve"> et </w:t>
      </w:r>
      <w:r w:rsidR="00080E47" w:rsidRPr="00A82AF3">
        <w:rPr>
          <w:sz w:val="24"/>
          <w:lang w:val="fr-FR"/>
        </w:rPr>
        <w:t xml:space="preserve">de maintenir un état de conservation favorable pour les requins migrateurs. </w:t>
      </w:r>
    </w:p>
    <w:p w:rsidR="00080E47" w:rsidRPr="00A82AF3" w:rsidRDefault="00AF47C9" w:rsidP="00080E47">
      <w:pPr>
        <w:spacing w:after="120"/>
        <w:rPr>
          <w:b/>
          <w:bCs/>
          <w:sz w:val="24"/>
          <w:lang w:val="fr-FR"/>
        </w:rPr>
      </w:pPr>
      <w:r w:rsidRPr="00A82AF3">
        <w:rPr>
          <w:b/>
          <w:bCs/>
          <w:sz w:val="24"/>
          <w:lang w:val="fr-FR"/>
        </w:rPr>
        <w:t>Cible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20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 xml:space="preserve">Les partenaires coopérants sont définis au paragraphe 30 du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Pr="00A82AF3">
        <w:rPr>
          <w:sz w:val="24"/>
          <w:lang w:val="fr-FR"/>
        </w:rPr>
        <w:t xml:space="preserve"> Requins comme suit: «</w:t>
      </w:r>
      <w:r w:rsidRPr="00A82AF3">
        <w:rPr>
          <w:i/>
          <w:sz w:val="24"/>
          <w:lang w:val="fr-FR"/>
        </w:rPr>
        <w:t> </w:t>
      </w:r>
      <w:r w:rsidR="00CA2570" w:rsidRPr="00A82AF3">
        <w:rPr>
          <w:i/>
          <w:sz w:val="24"/>
          <w:lang w:val="fr-FR"/>
        </w:rPr>
        <w:t>Les</w:t>
      </w:r>
      <w:r w:rsidR="00CA2570" w:rsidRPr="00A82AF3">
        <w:rPr>
          <w:sz w:val="24"/>
          <w:lang w:val="fr-FR"/>
        </w:rPr>
        <w:t xml:space="preserve"> </w:t>
      </w:r>
      <w:r w:rsidRPr="00A82AF3">
        <w:rPr>
          <w:i/>
          <w:sz w:val="24"/>
          <w:lang w:val="fr-FR"/>
        </w:rPr>
        <w:t xml:space="preserve">États qui ne sont pas </w:t>
      </w:r>
      <w:r w:rsidR="00AF47C9" w:rsidRPr="00A82AF3">
        <w:rPr>
          <w:i/>
          <w:sz w:val="24"/>
          <w:lang w:val="fr-FR"/>
        </w:rPr>
        <w:t xml:space="preserve">États </w:t>
      </w:r>
      <w:r w:rsidRPr="00A82AF3">
        <w:rPr>
          <w:i/>
          <w:sz w:val="24"/>
          <w:lang w:val="fr-FR"/>
        </w:rPr>
        <w:t xml:space="preserve">de l’aire de répartition, </w:t>
      </w:r>
      <w:r w:rsidR="00CA2570" w:rsidRPr="00A82AF3">
        <w:rPr>
          <w:i/>
          <w:sz w:val="24"/>
          <w:lang w:val="fr-FR"/>
        </w:rPr>
        <w:t xml:space="preserve">les </w:t>
      </w:r>
      <w:r w:rsidRPr="00A82AF3">
        <w:rPr>
          <w:i/>
          <w:sz w:val="24"/>
          <w:lang w:val="fr-FR"/>
        </w:rPr>
        <w:t>organisations intergouvernementales et non gouvernementales, ou d’autres organisations ou entités partenaires</w:t>
      </w:r>
      <w:r w:rsidRPr="00A82AF3">
        <w:rPr>
          <w:sz w:val="24"/>
          <w:lang w:val="fr-FR"/>
        </w:rPr>
        <w:t> ».</w:t>
      </w:r>
      <w:r w:rsidR="00DC78F7">
        <w:rPr>
          <w:sz w:val="24"/>
          <w:lang w:val="fr-FR"/>
        </w:rPr>
        <w:t xml:space="preserve"> </w:t>
      </w:r>
      <w:r w:rsidRPr="00A82AF3">
        <w:rPr>
          <w:sz w:val="24"/>
          <w:lang w:val="fr-FR"/>
        </w:rPr>
        <w:t xml:space="preserve">Le paragraphe 23 du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Pr="00A82AF3">
        <w:rPr>
          <w:sz w:val="24"/>
          <w:lang w:val="fr-FR"/>
        </w:rPr>
        <w:t xml:space="preserve"> Requins donne une définition plus précise de ce que pourraient être d’autres partenaires coopérants</w:t>
      </w:r>
      <w:r w:rsidRPr="00A82AF3">
        <w:rPr>
          <w:rStyle w:val="Funotenzeichen"/>
          <w:sz w:val="24"/>
          <w:vertAlign w:val="superscript"/>
          <w:lang w:val="fr-FR"/>
        </w:rPr>
        <w:footnoteReference w:id="1"/>
      </w:r>
      <w:r w:rsidRPr="00A82AF3">
        <w:rPr>
          <w:sz w:val="24"/>
          <w:lang w:val="fr-FR"/>
        </w:rPr>
        <w:t xml:space="preserve">. </w:t>
      </w:r>
    </w:p>
    <w:p w:rsidR="00080E47" w:rsidRPr="00A82AF3" w:rsidRDefault="00080E47" w:rsidP="00080E47">
      <w:pPr>
        <w:spacing w:after="120"/>
        <w:rPr>
          <w:b/>
          <w:bCs/>
          <w:sz w:val="24"/>
          <w:lang w:val="fr-FR"/>
        </w:rPr>
      </w:pPr>
      <w:r w:rsidRPr="00A82AF3">
        <w:rPr>
          <w:b/>
          <w:bCs/>
          <w:sz w:val="24"/>
          <w:lang w:val="fr-FR"/>
        </w:rPr>
        <w:t>Fonctions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Les partenaires coopérants</w:t>
      </w:r>
      <w:r w:rsidR="00DC78F7">
        <w:rPr>
          <w:sz w:val="24"/>
          <w:lang w:val="fr-FR"/>
        </w:rPr>
        <w:t xml:space="preserve"> </w:t>
      </w:r>
      <w:r w:rsidRPr="00A82AF3">
        <w:rPr>
          <w:sz w:val="24"/>
          <w:lang w:val="fr-FR"/>
        </w:rPr>
        <w:t>doivent aider les Signataires, les États de l’aire de répartition et le Secrétariat à atteindre les objectifs d</w:t>
      </w:r>
      <w:r w:rsidR="003E321E">
        <w:rPr>
          <w:sz w:val="24"/>
          <w:lang w:val="fr-FR"/>
        </w:rPr>
        <w:t>u</w:t>
      </w:r>
      <w:r w:rsidRPr="00A82AF3">
        <w:rPr>
          <w:sz w:val="24"/>
          <w:lang w:val="fr-FR"/>
        </w:rPr>
        <w:t xml:space="preserve">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="003E321E" w:rsidRPr="003E321E">
        <w:rPr>
          <w:sz w:val="24"/>
          <w:lang w:val="fr-FR"/>
        </w:rPr>
        <w:t xml:space="preserve"> </w:t>
      </w:r>
      <w:r w:rsidR="003E321E" w:rsidRPr="00A82AF3">
        <w:rPr>
          <w:sz w:val="24"/>
          <w:lang w:val="fr-FR"/>
        </w:rPr>
        <w:t>Requins</w:t>
      </w:r>
      <w:r w:rsidRPr="00A82AF3">
        <w:rPr>
          <w:sz w:val="24"/>
          <w:lang w:val="fr-FR"/>
        </w:rPr>
        <w:t>, en particulier en aidant</w:t>
      </w:r>
      <w:r w:rsidR="00DC78F7">
        <w:rPr>
          <w:sz w:val="24"/>
          <w:lang w:val="fr-FR"/>
        </w:rPr>
        <w:t> </w:t>
      </w:r>
      <w:r w:rsidRPr="00A82AF3">
        <w:rPr>
          <w:sz w:val="24"/>
          <w:lang w:val="fr-FR"/>
        </w:rPr>
        <w:t>à</w:t>
      </w:r>
      <w:r w:rsidR="003E321E">
        <w:rPr>
          <w:sz w:val="24"/>
          <w:lang w:val="fr-FR"/>
        </w:rPr>
        <w:t> </w:t>
      </w:r>
      <w:r w:rsidRPr="00A82AF3">
        <w:rPr>
          <w:sz w:val="24"/>
          <w:lang w:val="fr-FR"/>
        </w:rPr>
        <w:t>:</w:t>
      </w:r>
    </w:p>
    <w:p w:rsidR="00080E47" w:rsidRPr="00A82AF3" w:rsidRDefault="00CA2570" w:rsidP="00DC78F7">
      <w:pPr>
        <w:pStyle w:val="Listenabsatz"/>
        <w:numPr>
          <w:ilvl w:val="0"/>
          <w:numId w:val="6"/>
        </w:numPr>
        <w:ind w:left="992" w:hanging="357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m</w:t>
      </w:r>
      <w:r w:rsidR="00080E47" w:rsidRPr="00A82AF3">
        <w:rPr>
          <w:sz w:val="24"/>
          <w:lang w:val="fr-FR"/>
        </w:rPr>
        <w:t>ettre en œuvre le Plan de conservation tel qu’établi par les Signataires.</w:t>
      </w:r>
    </w:p>
    <w:p w:rsidR="00080E47" w:rsidRPr="00A82AF3" w:rsidRDefault="00080E47" w:rsidP="00DC78F7">
      <w:pPr>
        <w:pStyle w:val="Listenabsatz"/>
        <w:numPr>
          <w:ilvl w:val="0"/>
          <w:numId w:val="6"/>
        </w:numPr>
        <w:ind w:left="992" w:hanging="357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 xml:space="preserve">promouvoir </w:t>
      </w:r>
      <w:r w:rsidR="003E321E">
        <w:rPr>
          <w:sz w:val="24"/>
          <w:lang w:val="fr-FR"/>
        </w:rPr>
        <w:t xml:space="preserve">largement </w:t>
      </w:r>
      <w:r w:rsidRPr="00A82AF3">
        <w:rPr>
          <w:sz w:val="24"/>
          <w:lang w:val="fr-FR"/>
        </w:rPr>
        <w:t xml:space="preserve">le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Pr="00A82AF3">
        <w:rPr>
          <w:sz w:val="24"/>
          <w:lang w:val="fr-FR"/>
        </w:rPr>
        <w:t xml:space="preserve"> et ses objectifs. </w:t>
      </w:r>
    </w:p>
    <w:p w:rsidR="00080E47" w:rsidRPr="00A82AF3" w:rsidRDefault="00080E47" w:rsidP="00DC78F7">
      <w:pPr>
        <w:pStyle w:val="Listenabsatz"/>
        <w:numPr>
          <w:ilvl w:val="0"/>
          <w:numId w:val="6"/>
        </w:numPr>
        <w:ind w:left="992" w:hanging="357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créer des</w:t>
      </w:r>
      <w:r w:rsidR="00DC78F7">
        <w:rPr>
          <w:sz w:val="24"/>
          <w:lang w:val="fr-FR"/>
        </w:rPr>
        <w:t xml:space="preserve"> </w:t>
      </w:r>
      <w:r w:rsidRPr="00A82AF3">
        <w:rPr>
          <w:sz w:val="24"/>
          <w:lang w:val="fr-FR"/>
        </w:rPr>
        <w:t xml:space="preserve">synergies et maximiser l’efficacité de la mise en œuvre du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Pr="00A82AF3">
        <w:rPr>
          <w:sz w:val="24"/>
          <w:lang w:val="fr-FR"/>
        </w:rPr>
        <w:t xml:space="preserve"> et </w:t>
      </w:r>
      <w:r w:rsidR="00CA2570" w:rsidRPr="00A82AF3">
        <w:rPr>
          <w:sz w:val="24"/>
          <w:lang w:val="fr-FR"/>
        </w:rPr>
        <w:t xml:space="preserve">de </w:t>
      </w:r>
      <w:r w:rsidRPr="00A82AF3">
        <w:rPr>
          <w:sz w:val="24"/>
          <w:lang w:val="fr-FR"/>
        </w:rPr>
        <w:t xml:space="preserve">son Plan de conservation associé. </w:t>
      </w:r>
    </w:p>
    <w:p w:rsidR="00080E47" w:rsidRPr="00A82AF3" w:rsidRDefault="00080E47" w:rsidP="00DC78F7">
      <w:pPr>
        <w:pStyle w:val="Listenabsatz"/>
        <w:numPr>
          <w:ilvl w:val="0"/>
          <w:numId w:val="6"/>
        </w:numPr>
        <w:ind w:left="992" w:hanging="357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élaborer des programmes, projets et activités</w:t>
      </w:r>
      <w:r w:rsidR="00CA2570" w:rsidRPr="00A82AF3">
        <w:rPr>
          <w:sz w:val="24"/>
          <w:lang w:val="fr-FR"/>
        </w:rPr>
        <w:t xml:space="preserve"> conjointes </w:t>
      </w:r>
      <w:r w:rsidRPr="00A82AF3">
        <w:rPr>
          <w:sz w:val="24"/>
          <w:lang w:val="fr-FR"/>
        </w:rPr>
        <w:t>de conservation.</w:t>
      </w:r>
    </w:p>
    <w:p w:rsidR="00080E47" w:rsidRPr="00A82AF3" w:rsidRDefault="00080E47" w:rsidP="00DC78F7">
      <w:pPr>
        <w:pStyle w:val="Listenabsatz"/>
        <w:numPr>
          <w:ilvl w:val="0"/>
          <w:numId w:val="6"/>
        </w:numPr>
        <w:ind w:left="992" w:hanging="357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 xml:space="preserve">faciliter des initiatives </w:t>
      </w:r>
      <w:r w:rsidR="00CA2570" w:rsidRPr="00A82AF3">
        <w:rPr>
          <w:sz w:val="24"/>
          <w:lang w:val="fr-FR"/>
        </w:rPr>
        <w:t xml:space="preserve">communes </w:t>
      </w:r>
      <w:r w:rsidRPr="00A82AF3">
        <w:rPr>
          <w:sz w:val="24"/>
          <w:lang w:val="fr-FR"/>
        </w:rPr>
        <w:t xml:space="preserve">de collecte de fonds. </w:t>
      </w:r>
    </w:p>
    <w:p w:rsidR="00080E47" w:rsidRPr="00A82AF3" w:rsidRDefault="00080E47" w:rsidP="00DC78F7">
      <w:pPr>
        <w:pStyle w:val="Listenabsatz"/>
        <w:numPr>
          <w:ilvl w:val="0"/>
          <w:numId w:val="6"/>
        </w:numPr>
        <w:ind w:left="992" w:hanging="357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partager l’information et les compétences techniques.</w:t>
      </w:r>
    </w:p>
    <w:p w:rsidR="00080E47" w:rsidRPr="00A82AF3" w:rsidRDefault="00080E47" w:rsidP="00080E47">
      <w:pPr>
        <w:pStyle w:val="Listenabsatz"/>
        <w:widowControl/>
        <w:tabs>
          <w:tab w:val="left" w:pos="0"/>
          <w:tab w:val="left" w:pos="720"/>
        </w:tabs>
        <w:autoSpaceDE/>
        <w:autoSpaceDN/>
        <w:adjustRightInd/>
        <w:spacing w:line="276" w:lineRule="auto"/>
        <w:ind w:left="0"/>
        <w:contextualSpacing w:val="0"/>
        <w:jc w:val="both"/>
        <w:rPr>
          <w:sz w:val="24"/>
          <w:lang w:val="fr-FR"/>
        </w:rPr>
      </w:pP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Déterminé</w:t>
      </w:r>
      <w:r w:rsidR="003E321E">
        <w:rPr>
          <w:sz w:val="24"/>
          <w:lang w:val="fr-FR"/>
        </w:rPr>
        <w:t>e</w:t>
      </w:r>
      <w:r w:rsidRPr="00A82AF3">
        <w:rPr>
          <w:sz w:val="24"/>
          <w:lang w:val="fr-FR"/>
        </w:rPr>
        <w:t xml:space="preserve"> par son mandat, ses fonctions et ses compétences spécialisées, une collaboration avec un partenaire coopérant peut comprendre </w:t>
      </w:r>
      <w:r w:rsidR="00CA2570" w:rsidRPr="00A82AF3">
        <w:rPr>
          <w:sz w:val="24"/>
          <w:lang w:val="fr-FR"/>
        </w:rPr>
        <w:t>l</w:t>
      </w:r>
      <w:r w:rsidRPr="00A82AF3">
        <w:rPr>
          <w:sz w:val="24"/>
          <w:lang w:val="fr-FR"/>
        </w:rPr>
        <w:t>es activités décrites</w:t>
      </w:r>
      <w:r w:rsidR="00CA2570" w:rsidRPr="00A82AF3">
        <w:rPr>
          <w:sz w:val="24"/>
          <w:lang w:val="fr-FR"/>
        </w:rPr>
        <w:t xml:space="preserve"> dans le Plan de conservation </w:t>
      </w:r>
      <w:r w:rsidRPr="00A82AF3">
        <w:rPr>
          <w:sz w:val="24"/>
          <w:lang w:val="fr-FR"/>
        </w:rPr>
        <w:t xml:space="preserve">du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Pr="00A82AF3">
        <w:rPr>
          <w:sz w:val="24"/>
          <w:lang w:val="fr-FR"/>
        </w:rPr>
        <w:t xml:space="preserve"> Requins tels que</w:t>
      </w:r>
      <w:r w:rsidR="003E321E">
        <w:rPr>
          <w:sz w:val="24"/>
          <w:lang w:val="fr-FR"/>
        </w:rPr>
        <w:t> </w:t>
      </w:r>
      <w:r w:rsidRPr="00A82AF3">
        <w:rPr>
          <w:sz w:val="24"/>
          <w:lang w:val="fr-FR"/>
        </w:rPr>
        <w:t>:</w:t>
      </w:r>
    </w:p>
    <w:p w:rsidR="00080E47" w:rsidRPr="00A82AF3" w:rsidRDefault="003E321E" w:rsidP="00DC78F7">
      <w:pPr>
        <w:pStyle w:val="Listenabsatz"/>
        <w:numPr>
          <w:ilvl w:val="1"/>
          <w:numId w:val="11"/>
        </w:numPr>
        <w:tabs>
          <w:tab w:val="left" w:pos="0"/>
          <w:tab w:val="left" w:pos="1260"/>
        </w:tabs>
        <w:ind w:left="992" w:hanging="357"/>
        <w:contextualSpacing w:val="0"/>
        <w:jc w:val="both"/>
        <w:rPr>
          <w:sz w:val="24"/>
          <w:lang w:val="fr-FR"/>
        </w:rPr>
      </w:pPr>
      <w:r>
        <w:rPr>
          <w:sz w:val="24"/>
          <w:lang w:val="fr-FR"/>
        </w:rPr>
        <w:t>La r</w:t>
      </w:r>
      <w:r w:rsidR="00080E47" w:rsidRPr="00A82AF3">
        <w:rPr>
          <w:sz w:val="24"/>
          <w:lang w:val="fr-FR"/>
        </w:rPr>
        <w:t>echerche</w:t>
      </w:r>
      <w:r>
        <w:rPr>
          <w:sz w:val="24"/>
          <w:lang w:val="fr-FR"/>
        </w:rPr>
        <w:t> </w:t>
      </w:r>
      <w:r w:rsidR="00080E47" w:rsidRPr="00A82AF3">
        <w:rPr>
          <w:sz w:val="24"/>
          <w:lang w:val="fr-FR"/>
        </w:rPr>
        <w:t>;</w:t>
      </w:r>
    </w:p>
    <w:p w:rsidR="00080E47" w:rsidRPr="00A82AF3" w:rsidRDefault="003E321E" w:rsidP="00DC78F7">
      <w:pPr>
        <w:pStyle w:val="Listenabsatz"/>
        <w:numPr>
          <w:ilvl w:val="1"/>
          <w:numId w:val="11"/>
        </w:numPr>
        <w:tabs>
          <w:tab w:val="left" w:pos="0"/>
          <w:tab w:val="left" w:pos="1260"/>
        </w:tabs>
        <w:ind w:left="992" w:hanging="357"/>
        <w:contextualSpacing w:val="0"/>
        <w:jc w:val="both"/>
        <w:rPr>
          <w:sz w:val="24"/>
          <w:lang w:val="fr-FR"/>
        </w:rPr>
      </w:pPr>
      <w:r>
        <w:rPr>
          <w:sz w:val="24"/>
          <w:lang w:val="fr-FR"/>
        </w:rPr>
        <w:t>Le p</w:t>
      </w:r>
      <w:r w:rsidR="00080E47" w:rsidRPr="00A82AF3">
        <w:rPr>
          <w:sz w:val="24"/>
          <w:lang w:val="fr-FR"/>
        </w:rPr>
        <w:t>artage de données et d’informations</w:t>
      </w:r>
      <w:r>
        <w:rPr>
          <w:sz w:val="24"/>
          <w:lang w:val="fr-FR"/>
        </w:rPr>
        <w:t> </w:t>
      </w:r>
      <w:r w:rsidR="00080E47" w:rsidRPr="00A82AF3">
        <w:rPr>
          <w:sz w:val="24"/>
          <w:lang w:val="fr-FR"/>
        </w:rPr>
        <w:t>;</w:t>
      </w:r>
    </w:p>
    <w:p w:rsidR="00080E47" w:rsidRPr="00A82AF3" w:rsidRDefault="003E321E" w:rsidP="00DC78F7">
      <w:pPr>
        <w:pStyle w:val="Listenabsatz"/>
        <w:numPr>
          <w:ilvl w:val="1"/>
          <w:numId w:val="11"/>
        </w:numPr>
        <w:tabs>
          <w:tab w:val="left" w:pos="0"/>
          <w:tab w:val="left" w:pos="1260"/>
        </w:tabs>
        <w:ind w:left="992" w:hanging="357"/>
        <w:contextualSpacing w:val="0"/>
        <w:jc w:val="both"/>
        <w:rPr>
          <w:sz w:val="24"/>
          <w:lang w:val="fr-FR"/>
        </w:rPr>
      </w:pPr>
      <w:r>
        <w:rPr>
          <w:sz w:val="24"/>
          <w:lang w:val="fr-FR"/>
        </w:rPr>
        <w:lastRenderedPageBreak/>
        <w:t>Les a</w:t>
      </w:r>
      <w:r w:rsidR="00080E47" w:rsidRPr="00A82AF3">
        <w:rPr>
          <w:sz w:val="24"/>
          <w:lang w:val="fr-FR"/>
        </w:rPr>
        <w:t>ctivités de conservation</w:t>
      </w:r>
      <w:r>
        <w:rPr>
          <w:sz w:val="24"/>
          <w:lang w:val="fr-FR"/>
        </w:rPr>
        <w:t> </w:t>
      </w:r>
      <w:r w:rsidR="00080E47" w:rsidRPr="00A82AF3">
        <w:rPr>
          <w:sz w:val="24"/>
          <w:lang w:val="fr-FR"/>
        </w:rPr>
        <w:t>;</w:t>
      </w:r>
    </w:p>
    <w:p w:rsidR="00080E47" w:rsidRPr="00A82AF3" w:rsidRDefault="003E321E" w:rsidP="00DC78F7">
      <w:pPr>
        <w:pStyle w:val="Listenabsatz"/>
        <w:numPr>
          <w:ilvl w:val="1"/>
          <w:numId w:val="11"/>
        </w:numPr>
        <w:tabs>
          <w:tab w:val="left" w:pos="0"/>
          <w:tab w:val="left" w:pos="1260"/>
        </w:tabs>
        <w:ind w:left="992" w:hanging="357"/>
        <w:contextualSpacing w:val="0"/>
        <w:jc w:val="both"/>
        <w:rPr>
          <w:sz w:val="24"/>
          <w:lang w:val="fr-FR"/>
        </w:rPr>
      </w:pPr>
      <w:r>
        <w:rPr>
          <w:sz w:val="24"/>
          <w:lang w:val="fr-FR"/>
        </w:rPr>
        <w:t>Le r</w:t>
      </w:r>
      <w:r w:rsidR="00080E47" w:rsidRPr="00A82AF3">
        <w:rPr>
          <w:sz w:val="24"/>
          <w:lang w:val="fr-FR"/>
        </w:rPr>
        <w:t>enforcement des capacités</w:t>
      </w:r>
      <w:r>
        <w:rPr>
          <w:sz w:val="24"/>
          <w:lang w:val="fr-FR"/>
        </w:rPr>
        <w:t> </w:t>
      </w:r>
      <w:r w:rsidR="00080E47" w:rsidRPr="00A82AF3">
        <w:rPr>
          <w:sz w:val="24"/>
          <w:lang w:val="fr-FR"/>
        </w:rPr>
        <w:t xml:space="preserve">; </w:t>
      </w:r>
    </w:p>
    <w:p w:rsidR="00080E47" w:rsidRPr="00A82AF3" w:rsidRDefault="003E321E" w:rsidP="00DC78F7">
      <w:pPr>
        <w:pStyle w:val="Listenabsatz"/>
        <w:numPr>
          <w:ilvl w:val="1"/>
          <w:numId w:val="11"/>
        </w:numPr>
        <w:tabs>
          <w:tab w:val="left" w:pos="0"/>
          <w:tab w:val="left" w:pos="1260"/>
        </w:tabs>
        <w:ind w:left="992" w:hanging="357"/>
        <w:contextualSpacing w:val="0"/>
        <w:jc w:val="both"/>
        <w:rPr>
          <w:sz w:val="24"/>
          <w:lang w:val="fr-FR"/>
        </w:rPr>
      </w:pPr>
      <w:r>
        <w:rPr>
          <w:sz w:val="24"/>
          <w:lang w:val="fr-FR"/>
        </w:rPr>
        <w:t>La s</w:t>
      </w:r>
      <w:r w:rsidR="00080E47" w:rsidRPr="00A82AF3">
        <w:rPr>
          <w:sz w:val="24"/>
          <w:lang w:val="fr-FR"/>
        </w:rPr>
        <w:t>ensibilisation</w:t>
      </w:r>
      <w:r>
        <w:rPr>
          <w:sz w:val="24"/>
          <w:lang w:val="fr-FR"/>
        </w:rPr>
        <w:t> </w:t>
      </w:r>
      <w:r w:rsidR="00080E47" w:rsidRPr="00A82AF3">
        <w:rPr>
          <w:sz w:val="24"/>
          <w:lang w:val="fr-FR"/>
        </w:rPr>
        <w:t>;</w:t>
      </w:r>
    </w:p>
    <w:p w:rsidR="00080E47" w:rsidRPr="00A82AF3" w:rsidRDefault="003E321E" w:rsidP="00DC78F7">
      <w:pPr>
        <w:pStyle w:val="Listenabsatz"/>
        <w:numPr>
          <w:ilvl w:val="1"/>
          <w:numId w:val="11"/>
        </w:numPr>
        <w:tabs>
          <w:tab w:val="left" w:pos="0"/>
          <w:tab w:val="left" w:pos="1260"/>
        </w:tabs>
        <w:ind w:left="992" w:hanging="357"/>
        <w:contextualSpacing w:val="0"/>
        <w:jc w:val="both"/>
        <w:rPr>
          <w:sz w:val="24"/>
          <w:lang w:val="fr-FR"/>
        </w:rPr>
      </w:pPr>
      <w:r>
        <w:rPr>
          <w:sz w:val="24"/>
          <w:lang w:val="fr-FR"/>
        </w:rPr>
        <w:t>La p</w:t>
      </w:r>
      <w:r w:rsidR="00080E47" w:rsidRPr="00A82AF3">
        <w:rPr>
          <w:sz w:val="24"/>
          <w:lang w:val="fr-FR"/>
        </w:rPr>
        <w:t>romotion</w:t>
      </w:r>
      <w:r>
        <w:rPr>
          <w:sz w:val="24"/>
          <w:lang w:val="fr-FR"/>
        </w:rPr>
        <w:t> </w:t>
      </w:r>
      <w:r w:rsidR="00080E47" w:rsidRPr="00A82AF3">
        <w:rPr>
          <w:sz w:val="24"/>
          <w:lang w:val="fr-FR"/>
        </w:rPr>
        <w:t>; et</w:t>
      </w:r>
    </w:p>
    <w:p w:rsidR="00080E47" w:rsidRPr="00A82AF3" w:rsidRDefault="003E321E" w:rsidP="00DC78F7">
      <w:pPr>
        <w:pStyle w:val="Listenabsatz"/>
        <w:numPr>
          <w:ilvl w:val="1"/>
          <w:numId w:val="11"/>
        </w:numPr>
        <w:tabs>
          <w:tab w:val="left" w:pos="0"/>
          <w:tab w:val="left" w:pos="1260"/>
        </w:tabs>
        <w:ind w:left="992" w:hanging="357"/>
        <w:contextualSpacing w:val="0"/>
        <w:jc w:val="both"/>
        <w:rPr>
          <w:sz w:val="24"/>
          <w:lang w:val="fr-FR"/>
        </w:rPr>
      </w:pPr>
      <w:r>
        <w:rPr>
          <w:sz w:val="24"/>
          <w:lang w:val="fr-FR"/>
        </w:rPr>
        <w:t>La c</w:t>
      </w:r>
      <w:r w:rsidR="00AF47C9" w:rsidRPr="00A82AF3">
        <w:rPr>
          <w:sz w:val="24"/>
          <w:lang w:val="fr-FR"/>
        </w:rPr>
        <w:t>ollecte de</w:t>
      </w:r>
      <w:r w:rsidR="00080E47" w:rsidRPr="00A82AF3">
        <w:rPr>
          <w:sz w:val="24"/>
          <w:lang w:val="fr-FR"/>
        </w:rPr>
        <w:t xml:space="preserve"> fonds et </w:t>
      </w:r>
      <w:r>
        <w:rPr>
          <w:sz w:val="24"/>
          <w:lang w:val="fr-FR"/>
        </w:rPr>
        <w:t xml:space="preserve">le </w:t>
      </w:r>
      <w:r w:rsidR="00080E47" w:rsidRPr="00A82AF3">
        <w:rPr>
          <w:sz w:val="24"/>
          <w:lang w:val="fr-FR"/>
        </w:rPr>
        <w:t>soutien financier.</w:t>
      </w:r>
    </w:p>
    <w:p w:rsidR="000C1BCF" w:rsidRPr="00A82AF3" w:rsidRDefault="000C1BCF" w:rsidP="00080E47">
      <w:pPr>
        <w:spacing w:after="120"/>
        <w:rPr>
          <w:b/>
          <w:bCs/>
          <w:sz w:val="24"/>
          <w:lang w:val="fr-FR"/>
        </w:rPr>
      </w:pPr>
    </w:p>
    <w:p w:rsidR="00080E47" w:rsidRPr="00A82AF3" w:rsidRDefault="00080E47" w:rsidP="00080E47">
      <w:pPr>
        <w:spacing w:after="120"/>
        <w:rPr>
          <w:b/>
          <w:bCs/>
          <w:sz w:val="24"/>
          <w:lang w:val="fr-FR"/>
        </w:rPr>
      </w:pPr>
      <w:r w:rsidRPr="00A82AF3">
        <w:rPr>
          <w:b/>
          <w:bCs/>
          <w:sz w:val="24"/>
          <w:lang w:val="fr-FR"/>
        </w:rPr>
        <w:t xml:space="preserve">Modus </w:t>
      </w:r>
      <w:proofErr w:type="spellStart"/>
      <w:r w:rsidRPr="00A82AF3">
        <w:rPr>
          <w:b/>
          <w:bCs/>
          <w:sz w:val="24"/>
          <w:lang w:val="fr-FR"/>
        </w:rPr>
        <w:t>operandi</w:t>
      </w:r>
      <w:proofErr w:type="spellEnd"/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Un partenaire coopérant d</w:t>
      </w:r>
      <w:r w:rsidR="00AF47C9" w:rsidRPr="00A82AF3">
        <w:rPr>
          <w:sz w:val="24"/>
          <w:lang w:val="fr-FR"/>
        </w:rPr>
        <w:t>oit</w:t>
      </w:r>
      <w:r w:rsidRPr="00A82AF3">
        <w:rPr>
          <w:sz w:val="24"/>
          <w:lang w:val="fr-FR"/>
        </w:rPr>
        <w:t xml:space="preserve"> coordonner sa collaboration avec le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Pr="00A82AF3">
        <w:rPr>
          <w:sz w:val="24"/>
          <w:lang w:val="fr-FR"/>
        </w:rPr>
        <w:t xml:space="preserve"> Requins directement par le biais du Secrétariat. Toute </w:t>
      </w:r>
      <w:r w:rsidR="00AF47C9" w:rsidRPr="00A82AF3">
        <w:rPr>
          <w:sz w:val="24"/>
          <w:lang w:val="fr-FR"/>
        </w:rPr>
        <w:t>activité/initiative conjointe doit</w:t>
      </w:r>
      <w:r w:rsidRPr="00A82AF3">
        <w:rPr>
          <w:sz w:val="24"/>
          <w:lang w:val="fr-FR"/>
        </w:rPr>
        <w:t xml:space="preserve"> être approuvée</w:t>
      </w:r>
      <w:r w:rsidR="00DC78F7">
        <w:rPr>
          <w:sz w:val="24"/>
          <w:lang w:val="fr-FR"/>
        </w:rPr>
        <w:t xml:space="preserve"> </w:t>
      </w:r>
      <w:r w:rsidRPr="00A82AF3">
        <w:rPr>
          <w:sz w:val="24"/>
          <w:lang w:val="fr-FR"/>
        </w:rPr>
        <w:t>par la Réunion des Signataires.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Un partenaire coopérant d</w:t>
      </w:r>
      <w:r w:rsidR="00AF47C9" w:rsidRPr="00A82AF3">
        <w:rPr>
          <w:sz w:val="24"/>
          <w:lang w:val="fr-FR"/>
        </w:rPr>
        <w:t>oit</w:t>
      </w:r>
      <w:r w:rsidRPr="00A82AF3">
        <w:rPr>
          <w:sz w:val="24"/>
          <w:lang w:val="fr-FR"/>
        </w:rPr>
        <w:t xml:space="preserve"> nommer dans s</w:t>
      </w:r>
      <w:r w:rsidR="00AF47C9" w:rsidRPr="00A82AF3">
        <w:rPr>
          <w:sz w:val="24"/>
          <w:lang w:val="fr-FR"/>
        </w:rPr>
        <w:t>a propre</w:t>
      </w:r>
      <w:r w:rsidRPr="00A82AF3">
        <w:rPr>
          <w:sz w:val="24"/>
          <w:lang w:val="fr-FR"/>
        </w:rPr>
        <w:t xml:space="preserve"> organisation </w:t>
      </w:r>
      <w:r w:rsidR="00AF47C9" w:rsidRPr="00A82AF3">
        <w:rPr>
          <w:sz w:val="24"/>
          <w:lang w:val="fr-FR"/>
        </w:rPr>
        <w:t>un point focal qui facilitera</w:t>
      </w:r>
      <w:r w:rsidRPr="00A82AF3">
        <w:rPr>
          <w:sz w:val="24"/>
          <w:lang w:val="fr-FR"/>
        </w:rPr>
        <w:t xml:space="preserve"> la communication et partager</w:t>
      </w:r>
      <w:r w:rsidR="00AF47C9" w:rsidRPr="00A82AF3">
        <w:rPr>
          <w:sz w:val="24"/>
          <w:lang w:val="fr-FR"/>
        </w:rPr>
        <w:t>a</w:t>
      </w:r>
      <w:r w:rsidRPr="00A82AF3">
        <w:rPr>
          <w:sz w:val="24"/>
          <w:lang w:val="fr-FR"/>
        </w:rPr>
        <w:t xml:space="preserve"> régulièrement des informations pertinentes avec le Secrétariat au sujet de nouvelles initiatives et activités liées au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Pr="00A82AF3">
        <w:rPr>
          <w:sz w:val="24"/>
          <w:lang w:val="fr-FR"/>
        </w:rPr>
        <w:t xml:space="preserve"> Requins.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20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Le Secrétariat d</w:t>
      </w:r>
      <w:r w:rsidR="00AF47C9" w:rsidRPr="00A82AF3">
        <w:rPr>
          <w:sz w:val="24"/>
          <w:lang w:val="fr-FR"/>
        </w:rPr>
        <w:t>oi</w:t>
      </w:r>
      <w:r w:rsidRPr="00A82AF3">
        <w:rPr>
          <w:sz w:val="24"/>
          <w:lang w:val="fr-FR"/>
        </w:rPr>
        <w:t>t faciliter la collaboration entre les partenaires coopérants et les Signataires, les États de l’aire de réparti</w:t>
      </w:r>
      <w:r w:rsidR="00AF47C9" w:rsidRPr="00A82AF3">
        <w:rPr>
          <w:sz w:val="24"/>
          <w:lang w:val="fr-FR"/>
        </w:rPr>
        <w:t>tion, les États n’appartenant pas à l’aire</w:t>
      </w:r>
      <w:r w:rsidRPr="00A82AF3">
        <w:rPr>
          <w:sz w:val="24"/>
          <w:lang w:val="fr-FR"/>
        </w:rPr>
        <w:t xml:space="preserve"> de répartition et le Comité consultatif, ainsi que les groupes de travail, le cas échéant. </w:t>
      </w:r>
    </w:p>
    <w:p w:rsidR="00080E47" w:rsidRPr="00A82AF3" w:rsidRDefault="00080E47" w:rsidP="00080E47">
      <w:pPr>
        <w:rPr>
          <w:b/>
          <w:bCs/>
          <w:sz w:val="24"/>
          <w:lang w:val="fr-FR"/>
        </w:rPr>
      </w:pPr>
      <w:r w:rsidRPr="00A82AF3">
        <w:rPr>
          <w:b/>
          <w:bCs/>
          <w:sz w:val="24"/>
          <w:lang w:val="fr-FR"/>
        </w:rPr>
        <w:t>Participation aux réunions</w:t>
      </w:r>
    </w:p>
    <w:p w:rsidR="00080E47" w:rsidRPr="00A82AF3" w:rsidRDefault="00080E47" w:rsidP="00080E47">
      <w:pPr>
        <w:pStyle w:val="Listenabsatz"/>
        <w:tabs>
          <w:tab w:val="left" w:pos="0"/>
          <w:tab w:val="left" w:pos="720"/>
        </w:tabs>
        <w:spacing w:line="276" w:lineRule="auto"/>
        <w:ind w:left="0"/>
        <w:contextualSpacing w:val="0"/>
        <w:jc w:val="both"/>
        <w:rPr>
          <w:color w:val="000000"/>
          <w:sz w:val="24"/>
          <w:lang w:val="fr-FR"/>
        </w:rPr>
      </w:pP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20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 xml:space="preserve">Un partenaire coopérant peut participer aux sessions des Réunions des Signataires en </w:t>
      </w:r>
      <w:r w:rsidR="00AF47C9" w:rsidRPr="00A82AF3">
        <w:rPr>
          <w:sz w:val="24"/>
          <w:lang w:val="fr-FR"/>
        </w:rPr>
        <w:t>qualité d’</w:t>
      </w:r>
      <w:r w:rsidRPr="00A82AF3">
        <w:rPr>
          <w:sz w:val="24"/>
          <w:lang w:val="fr-FR"/>
        </w:rPr>
        <w:t xml:space="preserve">observateur, mais il ne </w:t>
      </w:r>
      <w:r w:rsidR="00DC78F7">
        <w:rPr>
          <w:sz w:val="24"/>
          <w:lang w:val="fr-FR"/>
        </w:rPr>
        <w:t xml:space="preserve">peut pas </w:t>
      </w:r>
      <w:r w:rsidR="00DC78F7" w:rsidRPr="009463A6">
        <w:rPr>
          <w:strike/>
          <w:sz w:val="24"/>
          <w:lang w:val="fr-FR"/>
        </w:rPr>
        <w:t>voter</w:t>
      </w:r>
      <w:r w:rsidR="00DC78F7">
        <w:rPr>
          <w:sz w:val="24"/>
          <w:lang w:val="fr-FR"/>
        </w:rPr>
        <w:t xml:space="preserve"> </w:t>
      </w:r>
      <w:r w:rsidRPr="00A82AF3">
        <w:rPr>
          <w:sz w:val="24"/>
          <w:lang w:val="fr-FR"/>
        </w:rPr>
        <w:t>prend</w:t>
      </w:r>
      <w:r w:rsidR="00DC78F7">
        <w:rPr>
          <w:sz w:val="24"/>
          <w:lang w:val="fr-FR"/>
        </w:rPr>
        <w:t>re</w:t>
      </w:r>
      <w:r w:rsidR="00AF47C9" w:rsidRPr="00A82AF3">
        <w:rPr>
          <w:sz w:val="24"/>
          <w:lang w:val="fr-FR"/>
        </w:rPr>
        <w:t xml:space="preserve"> </w:t>
      </w:r>
      <w:r w:rsidRPr="00A82AF3">
        <w:rPr>
          <w:sz w:val="24"/>
          <w:lang w:val="fr-FR"/>
        </w:rPr>
        <w:t>part au processus décisionnel.</w:t>
      </w:r>
      <w:r w:rsidR="003E321E" w:rsidRPr="00A82AF3">
        <w:rPr>
          <w:sz w:val="24"/>
          <w:lang w:val="fr-FR"/>
        </w:rPr>
        <w:t xml:space="preserve"> </w:t>
      </w:r>
      <w:r w:rsidR="00DC78F7" w:rsidRPr="00A82AF3">
        <w:rPr>
          <w:sz w:val="24"/>
          <w:lang w:val="fr-FR"/>
        </w:rPr>
        <w:t xml:space="preserve">Dans les 30 jours </w:t>
      </w:r>
      <w:r w:rsidR="00DC78F7">
        <w:rPr>
          <w:sz w:val="24"/>
          <w:lang w:val="fr-FR"/>
        </w:rPr>
        <w:t>précédant</w:t>
      </w:r>
      <w:r w:rsidR="00DC78F7" w:rsidRPr="00A82AF3">
        <w:rPr>
          <w:sz w:val="24"/>
          <w:lang w:val="fr-FR"/>
        </w:rPr>
        <w:t xml:space="preserve"> chaque Réunion des Signataires</w:t>
      </w:r>
      <w:r w:rsidR="00DC78F7">
        <w:rPr>
          <w:sz w:val="24"/>
          <w:lang w:val="fr-FR"/>
        </w:rPr>
        <w:t xml:space="preserve">, </w:t>
      </w:r>
      <w:r w:rsidR="00DC78F7" w:rsidRPr="00A82AF3">
        <w:rPr>
          <w:sz w:val="24"/>
          <w:lang w:val="fr-FR"/>
        </w:rPr>
        <w:t xml:space="preserve">n </w:t>
      </w:r>
      <w:r w:rsidRPr="00A82AF3">
        <w:rPr>
          <w:sz w:val="24"/>
          <w:lang w:val="fr-FR"/>
        </w:rPr>
        <w:t xml:space="preserve">partenaire coopérant doit présenter un rapport écrit sur les activités entreprises à l’appui du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Pr="00A82AF3">
        <w:rPr>
          <w:sz w:val="24"/>
          <w:lang w:val="fr-FR"/>
        </w:rPr>
        <w:t xml:space="preserve"> Requins et de la mise en œuvre de son plan de conservation</w:t>
      </w:r>
      <w:proofErr w:type="gramStart"/>
      <w:r w:rsidR="003E321E">
        <w:rPr>
          <w:sz w:val="24"/>
          <w:lang w:val="fr-FR"/>
        </w:rPr>
        <w:t>,</w:t>
      </w:r>
      <w:r w:rsidRPr="00A82AF3">
        <w:rPr>
          <w:sz w:val="24"/>
          <w:lang w:val="fr-FR"/>
        </w:rPr>
        <w:t>.</w:t>
      </w:r>
      <w:proofErr w:type="gramEnd"/>
      <w:r w:rsidRPr="00A82AF3">
        <w:rPr>
          <w:sz w:val="24"/>
          <w:lang w:val="fr-FR"/>
        </w:rPr>
        <w:t xml:space="preserve"> </w:t>
      </w:r>
    </w:p>
    <w:p w:rsidR="00080E47" w:rsidRPr="00A82AF3" w:rsidRDefault="00080E47" w:rsidP="00080E47">
      <w:pPr>
        <w:spacing w:after="120"/>
        <w:rPr>
          <w:b/>
          <w:bCs/>
          <w:sz w:val="24"/>
          <w:lang w:val="fr-FR"/>
        </w:rPr>
      </w:pPr>
      <w:r w:rsidRPr="00A82AF3">
        <w:rPr>
          <w:b/>
          <w:bCs/>
          <w:sz w:val="24"/>
          <w:lang w:val="fr-FR"/>
        </w:rPr>
        <w:t>Proc</w:t>
      </w:r>
      <w:r w:rsidR="00AF47C9" w:rsidRPr="00A82AF3">
        <w:rPr>
          <w:b/>
          <w:bCs/>
          <w:sz w:val="24"/>
          <w:lang w:val="fr-FR"/>
        </w:rPr>
        <w:t>é</w:t>
      </w:r>
      <w:r w:rsidRPr="00A82AF3">
        <w:rPr>
          <w:b/>
          <w:bCs/>
          <w:sz w:val="24"/>
          <w:lang w:val="fr-FR"/>
        </w:rPr>
        <w:t xml:space="preserve">dure </w:t>
      </w:r>
      <w:r w:rsidR="00AF47C9" w:rsidRPr="00A82AF3">
        <w:rPr>
          <w:b/>
          <w:bCs/>
          <w:sz w:val="24"/>
          <w:lang w:val="fr-FR"/>
        </w:rPr>
        <w:t>d’a</w:t>
      </w:r>
      <w:r w:rsidR="003E321E">
        <w:rPr>
          <w:b/>
          <w:bCs/>
          <w:sz w:val="24"/>
          <w:lang w:val="fr-FR"/>
        </w:rPr>
        <w:t>dmission</w:t>
      </w:r>
      <w:r w:rsidR="00AF47C9" w:rsidRPr="00A82AF3">
        <w:rPr>
          <w:b/>
          <w:bCs/>
          <w:sz w:val="24"/>
          <w:lang w:val="fr-FR"/>
        </w:rPr>
        <w:t xml:space="preserve"> des partenaires coopérants</w:t>
      </w:r>
    </w:p>
    <w:p w:rsidR="00080E47" w:rsidRPr="003E321E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 xml:space="preserve"> </w:t>
      </w:r>
      <w:r w:rsidR="00DC78F7">
        <w:rPr>
          <w:sz w:val="24"/>
          <w:lang w:val="fr-FR"/>
        </w:rPr>
        <w:t>[</w:t>
      </w:r>
      <w:r w:rsidRPr="003E321E">
        <w:rPr>
          <w:sz w:val="24"/>
          <w:lang w:val="fr-FR"/>
        </w:rPr>
        <w:t>Les États n’appartenant</w:t>
      </w:r>
      <w:r w:rsidR="00DC78F7">
        <w:rPr>
          <w:sz w:val="24"/>
          <w:lang w:val="fr-FR"/>
        </w:rPr>
        <w:t xml:space="preserve"> </w:t>
      </w:r>
      <w:r w:rsidRPr="003E321E">
        <w:rPr>
          <w:sz w:val="24"/>
          <w:lang w:val="fr-FR"/>
        </w:rPr>
        <w:t xml:space="preserve">pas à l’aire de répartition qui </w:t>
      </w:r>
      <w:r w:rsidR="00DC78F7">
        <w:rPr>
          <w:sz w:val="24"/>
          <w:lang w:val="fr-FR"/>
        </w:rPr>
        <w:t>souhaiteraient</w:t>
      </w:r>
      <w:r w:rsidRPr="003E321E">
        <w:rPr>
          <w:sz w:val="24"/>
          <w:lang w:val="fr-FR"/>
        </w:rPr>
        <w:t xml:space="preserve"> signer le </w:t>
      </w:r>
      <w:proofErr w:type="spellStart"/>
      <w:r w:rsidRPr="003E321E">
        <w:rPr>
          <w:sz w:val="24"/>
          <w:lang w:val="fr-FR"/>
        </w:rPr>
        <w:t>MdE</w:t>
      </w:r>
      <w:proofErr w:type="spellEnd"/>
      <w:r w:rsidRPr="003E321E">
        <w:rPr>
          <w:sz w:val="24"/>
          <w:lang w:val="fr-FR"/>
        </w:rPr>
        <w:t xml:space="preserve"> sont </w:t>
      </w:r>
      <w:r w:rsidR="00AF47C9" w:rsidRPr="003E321E">
        <w:rPr>
          <w:sz w:val="24"/>
          <w:lang w:val="fr-FR"/>
        </w:rPr>
        <w:t xml:space="preserve">automatiquement </w:t>
      </w:r>
      <w:r w:rsidRPr="003E321E">
        <w:rPr>
          <w:sz w:val="24"/>
          <w:lang w:val="fr-FR"/>
        </w:rPr>
        <w:t>auto</w:t>
      </w:r>
      <w:r w:rsidR="00DC78F7">
        <w:rPr>
          <w:sz w:val="24"/>
          <w:lang w:val="fr-FR"/>
        </w:rPr>
        <w:t>risés à le faire à tout moment.</w:t>
      </w:r>
      <w:r w:rsidR="004C28F1">
        <w:rPr>
          <w:sz w:val="24"/>
          <w:lang w:val="fr-FR"/>
        </w:rPr>
        <w:t>]</w:t>
      </w:r>
    </w:p>
    <w:p w:rsidR="00080E47" w:rsidRPr="00143C1E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trike/>
          <w:sz w:val="24"/>
          <w:lang w:val="fr-FR"/>
        </w:rPr>
      </w:pPr>
      <w:r w:rsidRPr="00143C1E">
        <w:rPr>
          <w:strike/>
          <w:sz w:val="24"/>
          <w:lang w:val="fr-FR"/>
        </w:rPr>
        <w:t xml:space="preserve">Les organisations intergouvernementales </w:t>
      </w:r>
      <w:r w:rsidR="00AF47C9" w:rsidRPr="00143C1E">
        <w:rPr>
          <w:strike/>
          <w:sz w:val="24"/>
          <w:lang w:val="fr-FR"/>
        </w:rPr>
        <w:t xml:space="preserve">(OIG) </w:t>
      </w:r>
      <w:r w:rsidRPr="00143C1E">
        <w:rPr>
          <w:strike/>
          <w:sz w:val="24"/>
          <w:lang w:val="fr-FR"/>
        </w:rPr>
        <w:t xml:space="preserve">qui sont intéressées à signer le </w:t>
      </w:r>
      <w:proofErr w:type="spellStart"/>
      <w:r w:rsidRPr="00143C1E">
        <w:rPr>
          <w:strike/>
          <w:sz w:val="24"/>
          <w:lang w:val="fr-FR"/>
        </w:rPr>
        <w:t>MdE</w:t>
      </w:r>
      <w:proofErr w:type="spellEnd"/>
      <w:r w:rsidRPr="00143C1E">
        <w:rPr>
          <w:strike/>
          <w:sz w:val="24"/>
          <w:lang w:val="fr-FR"/>
        </w:rPr>
        <w:t xml:space="preserve"> sont automatiquement autorisées à le faire à tout moment. </w:t>
      </w:r>
    </w:p>
    <w:p w:rsidR="00080E47" w:rsidRPr="00143C1E" w:rsidRDefault="00080E47" w:rsidP="00B75B8E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trike/>
          <w:sz w:val="24"/>
          <w:lang w:val="fr-FR"/>
        </w:rPr>
      </w:pPr>
      <w:r w:rsidRPr="00143C1E">
        <w:rPr>
          <w:strike/>
          <w:sz w:val="24"/>
          <w:lang w:val="fr-FR"/>
        </w:rPr>
        <w:t>Les ONG et d’autres organ</w:t>
      </w:r>
      <w:r w:rsidR="00AF47C9" w:rsidRPr="00143C1E">
        <w:rPr>
          <w:strike/>
          <w:sz w:val="24"/>
          <w:lang w:val="fr-FR"/>
        </w:rPr>
        <w:t>ismes</w:t>
      </w:r>
      <w:r w:rsidRPr="00143C1E">
        <w:rPr>
          <w:strike/>
          <w:sz w:val="24"/>
          <w:lang w:val="fr-FR"/>
        </w:rPr>
        <w:t xml:space="preserve"> et entités pertinents qui sont intéressés à signer le </w:t>
      </w:r>
      <w:proofErr w:type="spellStart"/>
      <w:r w:rsidRPr="00143C1E">
        <w:rPr>
          <w:strike/>
          <w:sz w:val="24"/>
          <w:lang w:val="fr-FR"/>
        </w:rPr>
        <w:t>MdE</w:t>
      </w:r>
      <w:proofErr w:type="spellEnd"/>
      <w:r w:rsidR="00AF47C9" w:rsidRPr="00143C1E">
        <w:rPr>
          <w:strike/>
          <w:sz w:val="24"/>
          <w:lang w:val="fr-FR"/>
        </w:rPr>
        <w:t xml:space="preserve"> doivent se conformer</w:t>
      </w:r>
      <w:r w:rsidRPr="00143C1E">
        <w:rPr>
          <w:strike/>
          <w:sz w:val="24"/>
          <w:lang w:val="fr-FR"/>
        </w:rPr>
        <w:t xml:space="preserve"> aux procédures décrites dans les paragraphes ci-après.</w:t>
      </w:r>
      <w:r w:rsidR="00DC78F7" w:rsidRPr="00143C1E">
        <w:rPr>
          <w:strike/>
          <w:sz w:val="24"/>
          <w:lang w:val="fr-FR"/>
        </w:rPr>
        <w:t xml:space="preserve"> </w:t>
      </w:r>
    </w:p>
    <w:p w:rsidR="00080E47" w:rsidRPr="00143C1E" w:rsidRDefault="00080E47" w:rsidP="004C28F1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contextualSpacing w:val="0"/>
        <w:jc w:val="both"/>
        <w:rPr>
          <w:strike/>
          <w:sz w:val="24"/>
          <w:lang w:val="fr-FR"/>
        </w:rPr>
      </w:pPr>
      <w:r w:rsidRPr="00143C1E">
        <w:rPr>
          <w:strike/>
          <w:sz w:val="24"/>
          <w:lang w:val="fr-FR"/>
        </w:rPr>
        <w:t>Les ONG souhaitant devenir partenaires coopérants d</w:t>
      </w:r>
      <w:r w:rsidR="00AF47C9" w:rsidRPr="00143C1E">
        <w:rPr>
          <w:strike/>
          <w:sz w:val="24"/>
          <w:lang w:val="fr-FR"/>
        </w:rPr>
        <w:t>oivent</w:t>
      </w:r>
      <w:r w:rsidRPr="00143C1E">
        <w:rPr>
          <w:strike/>
          <w:sz w:val="24"/>
          <w:lang w:val="fr-FR"/>
        </w:rPr>
        <w:t xml:space="preserve"> soumettre au Secrétariat une manifestation d’intérêt à signer le </w:t>
      </w:r>
      <w:proofErr w:type="spellStart"/>
      <w:r w:rsidRPr="00143C1E">
        <w:rPr>
          <w:strike/>
          <w:sz w:val="24"/>
          <w:lang w:val="fr-FR"/>
        </w:rPr>
        <w:t>MdE</w:t>
      </w:r>
      <w:proofErr w:type="spellEnd"/>
      <w:r w:rsidRPr="00143C1E">
        <w:rPr>
          <w:strike/>
          <w:sz w:val="24"/>
          <w:lang w:val="fr-FR"/>
        </w:rPr>
        <w:t>.</w:t>
      </w:r>
      <w:r w:rsidR="00DC78F7" w:rsidRPr="00143C1E">
        <w:rPr>
          <w:strike/>
          <w:sz w:val="24"/>
          <w:lang w:val="fr-FR"/>
        </w:rPr>
        <w:t xml:space="preserve"> </w:t>
      </w:r>
      <w:r w:rsidR="00AF47C9" w:rsidRPr="00143C1E">
        <w:rPr>
          <w:strike/>
          <w:sz w:val="24"/>
          <w:lang w:val="fr-FR"/>
        </w:rPr>
        <w:t>Celle-ci doit</w:t>
      </w:r>
      <w:r w:rsidRPr="00143C1E">
        <w:rPr>
          <w:strike/>
          <w:sz w:val="24"/>
          <w:lang w:val="fr-FR"/>
        </w:rPr>
        <w:t xml:space="preserve"> contenir des informations sur le mandat</w:t>
      </w:r>
      <w:r w:rsidR="00AF47C9" w:rsidRPr="00143C1E">
        <w:rPr>
          <w:strike/>
          <w:sz w:val="24"/>
          <w:lang w:val="fr-FR"/>
        </w:rPr>
        <w:t xml:space="preserve"> de l’organisation, ses</w:t>
      </w:r>
      <w:r w:rsidRPr="00143C1E">
        <w:rPr>
          <w:strike/>
          <w:sz w:val="24"/>
          <w:lang w:val="fr-FR"/>
        </w:rPr>
        <w:t xml:space="preserve"> activités </w:t>
      </w:r>
      <w:r w:rsidR="00AF47C9" w:rsidRPr="00143C1E">
        <w:rPr>
          <w:strike/>
          <w:sz w:val="24"/>
          <w:lang w:val="fr-FR"/>
        </w:rPr>
        <w:t>en cours</w:t>
      </w:r>
      <w:r w:rsidR="00DC78F7" w:rsidRPr="00143C1E">
        <w:rPr>
          <w:strike/>
          <w:sz w:val="24"/>
          <w:lang w:val="fr-FR"/>
        </w:rPr>
        <w:t xml:space="preserve"> </w:t>
      </w:r>
      <w:r w:rsidR="00AF47C9" w:rsidRPr="00143C1E">
        <w:rPr>
          <w:strike/>
          <w:sz w:val="24"/>
          <w:lang w:val="fr-FR"/>
        </w:rPr>
        <w:t xml:space="preserve">ainsi que sur </w:t>
      </w:r>
      <w:r w:rsidRPr="00143C1E">
        <w:rPr>
          <w:strike/>
          <w:sz w:val="24"/>
          <w:lang w:val="fr-FR"/>
        </w:rPr>
        <w:t>les domaines d</w:t>
      </w:r>
      <w:r w:rsidR="00AF47C9" w:rsidRPr="00143C1E">
        <w:rPr>
          <w:strike/>
          <w:sz w:val="24"/>
          <w:lang w:val="fr-FR"/>
        </w:rPr>
        <w:t xml:space="preserve">e coopération de </w:t>
      </w:r>
      <w:r w:rsidRPr="00143C1E">
        <w:rPr>
          <w:strike/>
          <w:sz w:val="24"/>
          <w:lang w:val="fr-FR"/>
        </w:rPr>
        <w:t>envisagés.]</w:t>
      </w:r>
    </w:p>
    <w:p w:rsidR="00E00003" w:rsidRDefault="00E00003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E00003">
        <w:rPr>
          <w:sz w:val="24"/>
          <w:lang w:val="fr-FR"/>
        </w:rPr>
        <w:t xml:space="preserve">Les </w:t>
      </w:r>
      <w:r w:rsidRPr="00143C1E">
        <w:rPr>
          <w:strike/>
          <w:sz w:val="24"/>
          <w:lang w:val="fr-FR"/>
        </w:rPr>
        <w:t>États n’appartenant pas à l’aire de répartition, les organisations</w:t>
      </w:r>
      <w:r w:rsidRPr="00E00003">
        <w:rPr>
          <w:sz w:val="24"/>
          <w:lang w:val="fr-FR"/>
        </w:rPr>
        <w:t xml:space="preserve"> intergouvernementales (OIG), les </w:t>
      </w:r>
      <w:r>
        <w:rPr>
          <w:sz w:val="24"/>
          <w:lang w:val="fr-FR"/>
        </w:rPr>
        <w:t>Organisations non gouvernementales (</w:t>
      </w:r>
      <w:r w:rsidRPr="00E00003">
        <w:rPr>
          <w:sz w:val="24"/>
          <w:lang w:val="fr-FR"/>
        </w:rPr>
        <w:t>ONG</w:t>
      </w:r>
      <w:r>
        <w:rPr>
          <w:sz w:val="24"/>
          <w:lang w:val="fr-FR"/>
        </w:rPr>
        <w:t>)</w:t>
      </w:r>
      <w:r w:rsidRPr="00E00003">
        <w:rPr>
          <w:sz w:val="24"/>
          <w:lang w:val="fr-FR"/>
        </w:rPr>
        <w:t xml:space="preserve"> et </w:t>
      </w:r>
      <w:r>
        <w:rPr>
          <w:sz w:val="24"/>
          <w:lang w:val="fr-FR"/>
        </w:rPr>
        <w:t xml:space="preserve">les </w:t>
      </w:r>
      <w:r w:rsidRPr="00E00003">
        <w:rPr>
          <w:sz w:val="24"/>
          <w:lang w:val="fr-FR"/>
        </w:rPr>
        <w:t xml:space="preserve">autres organismes et entités pertinents </w:t>
      </w:r>
      <w:r w:rsidR="00EE19F8">
        <w:rPr>
          <w:sz w:val="24"/>
          <w:lang w:val="fr-FR"/>
        </w:rPr>
        <w:t>souhaitant devenir partenaires coopérants</w:t>
      </w:r>
      <w:r w:rsidRPr="00E00003">
        <w:rPr>
          <w:sz w:val="24"/>
          <w:lang w:val="fr-FR"/>
        </w:rPr>
        <w:t xml:space="preserve"> doivent soumettre au Secrétariat une manifestation d’intérêt à signer le </w:t>
      </w:r>
      <w:proofErr w:type="spellStart"/>
      <w:r w:rsidRPr="00E00003">
        <w:rPr>
          <w:sz w:val="24"/>
          <w:lang w:val="fr-FR"/>
        </w:rPr>
        <w:t>MdE</w:t>
      </w:r>
      <w:proofErr w:type="spellEnd"/>
      <w:r w:rsidR="000D0E1A">
        <w:rPr>
          <w:sz w:val="24"/>
          <w:lang w:val="fr-FR"/>
        </w:rPr>
        <w:t>.</w:t>
      </w:r>
      <w:r w:rsidRPr="00E00003">
        <w:rPr>
          <w:sz w:val="24"/>
          <w:lang w:val="fr-FR"/>
        </w:rPr>
        <w:t xml:space="preserve"> </w:t>
      </w:r>
    </w:p>
    <w:p w:rsidR="00EE19F8" w:rsidRPr="00EE19F8" w:rsidRDefault="00080E47" w:rsidP="00EE19F8">
      <w:pPr>
        <w:pStyle w:val="Listenabsatz"/>
        <w:widowControl/>
        <w:numPr>
          <w:ilvl w:val="0"/>
          <w:numId w:val="5"/>
        </w:numPr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EE19F8">
        <w:rPr>
          <w:sz w:val="24"/>
          <w:lang w:val="fr-FR"/>
        </w:rPr>
        <w:lastRenderedPageBreak/>
        <w:t>Les manifestations d’intérêt d</w:t>
      </w:r>
      <w:r w:rsidR="00AF47C9" w:rsidRPr="00EE19F8">
        <w:rPr>
          <w:sz w:val="24"/>
          <w:lang w:val="fr-FR"/>
        </w:rPr>
        <w:t>oivent</w:t>
      </w:r>
      <w:r w:rsidRPr="00EE19F8">
        <w:rPr>
          <w:sz w:val="24"/>
          <w:lang w:val="fr-FR"/>
        </w:rPr>
        <w:t xml:space="preserve"> être envoyées au Secrétariat au </w:t>
      </w:r>
      <w:r w:rsidR="00E10CCB" w:rsidRPr="00EE19F8">
        <w:rPr>
          <w:sz w:val="24"/>
          <w:lang w:val="fr-FR"/>
        </w:rPr>
        <w:t>moins</w:t>
      </w:r>
      <w:r w:rsidRPr="00EE19F8">
        <w:rPr>
          <w:sz w:val="24"/>
          <w:lang w:val="fr-FR"/>
        </w:rPr>
        <w:t xml:space="preserve"> 90 jours avant la Réunion des Signataires.</w:t>
      </w:r>
      <w:r w:rsidR="00BF1444" w:rsidRPr="00BF1444">
        <w:rPr>
          <w:sz w:val="24"/>
          <w:lang w:val="fr-FR"/>
        </w:rPr>
        <w:t xml:space="preserve"> Elles</w:t>
      </w:r>
      <w:r w:rsidR="00EE19F8" w:rsidRPr="00BF1444">
        <w:rPr>
          <w:sz w:val="24"/>
          <w:lang w:val="fr-FR"/>
        </w:rPr>
        <w:t xml:space="preserve"> doi</w:t>
      </w:r>
      <w:r w:rsidR="00BF1444" w:rsidRPr="00BF1444">
        <w:rPr>
          <w:sz w:val="24"/>
          <w:lang w:val="fr-FR"/>
        </w:rPr>
        <w:t>vent</w:t>
      </w:r>
      <w:r w:rsidR="00EE19F8" w:rsidRPr="00BF1444">
        <w:rPr>
          <w:sz w:val="24"/>
          <w:lang w:val="fr-FR"/>
        </w:rPr>
        <w:t xml:space="preserve"> contenir des informations sur le mandat de l’organisation, ses activités en cours</w:t>
      </w:r>
      <w:r w:rsidR="00BF1444" w:rsidRPr="00BF1444">
        <w:rPr>
          <w:sz w:val="24"/>
          <w:lang w:val="fr-FR"/>
        </w:rPr>
        <w:t xml:space="preserve"> </w:t>
      </w:r>
      <w:r w:rsidR="00EE19F8" w:rsidRPr="00BF1444">
        <w:rPr>
          <w:sz w:val="24"/>
          <w:lang w:val="fr-FR"/>
        </w:rPr>
        <w:t xml:space="preserve">ainsi que sur les domaines de coopération </w:t>
      </w:r>
      <w:r w:rsidR="00BF1444" w:rsidRPr="00BF1444">
        <w:rPr>
          <w:sz w:val="24"/>
          <w:lang w:val="fr-FR"/>
        </w:rPr>
        <w:t>envisagés</w:t>
      </w:r>
      <w:r w:rsidR="00EE19F8">
        <w:rPr>
          <w:sz w:val="24"/>
          <w:lang w:val="fr-FR"/>
        </w:rPr>
        <w:t>.</w:t>
      </w:r>
    </w:p>
    <w:p w:rsidR="00080E47" w:rsidRPr="00A82AF3" w:rsidRDefault="00080E47" w:rsidP="00EE19F8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color w:val="000000"/>
          <w:sz w:val="24"/>
          <w:lang w:val="fr-FR"/>
        </w:rPr>
      </w:pPr>
      <w:r w:rsidRPr="00A82AF3">
        <w:rPr>
          <w:sz w:val="24"/>
          <w:lang w:val="fr-FR"/>
        </w:rPr>
        <w:t>Le Secrétariat examinera chaque manifestation d’intérêt et enverra une notification aux Signataires dans les 30 jours après la réception.</w:t>
      </w:r>
      <w:r w:rsidRPr="00A82AF3">
        <w:rPr>
          <w:color w:val="000000"/>
          <w:sz w:val="24"/>
          <w:lang w:val="fr-FR"/>
        </w:rPr>
        <w:t xml:space="preserve"> 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 xml:space="preserve">Les Signataires peuvent autoriser un partenaire coopérant à signer le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Pr="00A82AF3">
        <w:rPr>
          <w:sz w:val="24"/>
          <w:lang w:val="fr-FR"/>
        </w:rPr>
        <w:t xml:space="preserve"> Requins à la Réunion des Signataires ou, s’il y a suffisamment de temps avant la </w:t>
      </w:r>
      <w:r w:rsidR="00EE19F8" w:rsidRPr="00A82AF3">
        <w:rPr>
          <w:sz w:val="24"/>
          <w:lang w:val="fr-FR"/>
        </w:rPr>
        <w:t xml:space="preserve">Réunion </w:t>
      </w:r>
      <w:r w:rsidRPr="00A82AF3">
        <w:rPr>
          <w:sz w:val="24"/>
          <w:lang w:val="fr-FR"/>
        </w:rPr>
        <w:t>des Signataires</w:t>
      </w:r>
      <w:r w:rsidR="00EE19F8" w:rsidRPr="00EE19F8">
        <w:rPr>
          <w:sz w:val="24"/>
          <w:lang w:val="fr-FR"/>
        </w:rPr>
        <w:t xml:space="preserve"> </w:t>
      </w:r>
      <w:r w:rsidR="00EE19F8" w:rsidRPr="00A82AF3">
        <w:rPr>
          <w:sz w:val="24"/>
          <w:lang w:val="fr-FR"/>
        </w:rPr>
        <w:t>suivante</w:t>
      </w:r>
      <w:r w:rsidRPr="00A82AF3">
        <w:rPr>
          <w:sz w:val="24"/>
          <w:lang w:val="fr-FR"/>
        </w:rPr>
        <w:t xml:space="preserve">, par le biais d’une procédure écrite </w:t>
      </w:r>
      <w:r w:rsidR="00AF47C9" w:rsidRPr="00A82AF3">
        <w:rPr>
          <w:sz w:val="24"/>
          <w:lang w:val="fr-FR"/>
        </w:rPr>
        <w:t>ouverte</w:t>
      </w:r>
      <w:r w:rsidRPr="00A82AF3">
        <w:rPr>
          <w:sz w:val="24"/>
          <w:lang w:val="fr-FR"/>
        </w:rPr>
        <w:t xml:space="preserve"> par le Secrétariat. 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Si le Secrétariat ne reçoit pas d’objections dans les 30 jours</w:t>
      </w:r>
      <w:r w:rsidR="00DC78F7">
        <w:rPr>
          <w:sz w:val="24"/>
          <w:lang w:val="fr-FR"/>
        </w:rPr>
        <w:t xml:space="preserve"> </w:t>
      </w:r>
      <w:r w:rsidRPr="00A82AF3">
        <w:rPr>
          <w:sz w:val="24"/>
          <w:lang w:val="fr-FR"/>
        </w:rPr>
        <w:t>suivant l</w:t>
      </w:r>
      <w:r w:rsidR="00AF47C9" w:rsidRPr="00A82AF3">
        <w:rPr>
          <w:sz w:val="24"/>
          <w:lang w:val="fr-FR"/>
        </w:rPr>
        <w:t>’ouverture</w:t>
      </w:r>
      <w:r w:rsidRPr="00A82AF3">
        <w:rPr>
          <w:sz w:val="24"/>
          <w:lang w:val="fr-FR"/>
        </w:rPr>
        <w:t xml:space="preserve"> d’une procédure écrite, il invitera l’organisation à signer le </w:t>
      </w:r>
      <w:proofErr w:type="spellStart"/>
      <w:r w:rsidRPr="00A82AF3">
        <w:rPr>
          <w:sz w:val="24"/>
          <w:lang w:val="fr-FR"/>
        </w:rPr>
        <w:t>MdE</w:t>
      </w:r>
      <w:proofErr w:type="spellEnd"/>
      <w:r w:rsidRPr="00A82AF3">
        <w:rPr>
          <w:sz w:val="24"/>
          <w:lang w:val="fr-FR"/>
        </w:rPr>
        <w:t xml:space="preserve"> Requins en tant que partenaire coopérant.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20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sz w:val="24"/>
          <w:lang w:val="fr-FR"/>
        </w:rPr>
        <w:t>Si le Secrétariat reçoit une objection d’un ou de</w:t>
      </w:r>
      <w:r w:rsidR="00AF47C9" w:rsidRPr="00A82AF3">
        <w:rPr>
          <w:sz w:val="24"/>
          <w:lang w:val="fr-FR"/>
        </w:rPr>
        <w:t xml:space="preserve"> </w:t>
      </w:r>
      <w:r w:rsidRPr="00A82AF3">
        <w:rPr>
          <w:sz w:val="24"/>
          <w:lang w:val="fr-FR"/>
        </w:rPr>
        <w:t>plu</w:t>
      </w:r>
      <w:r w:rsidR="00AF47C9" w:rsidRPr="00A82AF3">
        <w:rPr>
          <w:sz w:val="24"/>
          <w:lang w:val="fr-FR"/>
        </w:rPr>
        <w:t>sieurs</w:t>
      </w:r>
      <w:r w:rsidRPr="00A82AF3">
        <w:rPr>
          <w:sz w:val="24"/>
          <w:lang w:val="fr-FR"/>
        </w:rPr>
        <w:t xml:space="preserve"> Signa</w:t>
      </w:r>
      <w:r w:rsidR="003E7A04" w:rsidRPr="00A82AF3">
        <w:rPr>
          <w:sz w:val="24"/>
          <w:lang w:val="fr-FR"/>
        </w:rPr>
        <w:t>ta</w:t>
      </w:r>
      <w:r w:rsidRPr="00A82AF3">
        <w:rPr>
          <w:sz w:val="24"/>
          <w:lang w:val="fr-FR"/>
        </w:rPr>
        <w:t xml:space="preserve">ires, il inscrira la question à l’ordre du jour de </w:t>
      </w:r>
      <w:r w:rsidR="00B75B8E" w:rsidRPr="00A82AF3">
        <w:rPr>
          <w:sz w:val="24"/>
          <w:lang w:val="fr-FR"/>
        </w:rPr>
        <w:t>l</w:t>
      </w:r>
      <w:r w:rsidRPr="00A82AF3">
        <w:rPr>
          <w:sz w:val="24"/>
          <w:lang w:val="fr-FR"/>
        </w:rPr>
        <w:t xml:space="preserve">a Réunion </w:t>
      </w:r>
      <w:r w:rsidR="00041B15" w:rsidRPr="00A82AF3">
        <w:rPr>
          <w:sz w:val="24"/>
          <w:lang w:val="fr-FR"/>
        </w:rPr>
        <w:t xml:space="preserve">des Signataires </w:t>
      </w:r>
      <w:r w:rsidRPr="00A82AF3">
        <w:rPr>
          <w:sz w:val="24"/>
          <w:lang w:val="fr-FR"/>
        </w:rPr>
        <w:t xml:space="preserve">suivante pour </w:t>
      </w:r>
      <w:r w:rsidR="00EE19F8">
        <w:rPr>
          <w:sz w:val="24"/>
          <w:lang w:val="fr-FR"/>
        </w:rPr>
        <w:t>qu’</w:t>
      </w:r>
      <w:r w:rsidR="00DB41F8" w:rsidRPr="00A82AF3">
        <w:rPr>
          <w:sz w:val="24"/>
          <w:lang w:val="fr-FR"/>
        </w:rPr>
        <w:t xml:space="preserve">une </w:t>
      </w:r>
      <w:r w:rsidRPr="00A82AF3">
        <w:rPr>
          <w:sz w:val="24"/>
          <w:lang w:val="fr-FR"/>
        </w:rPr>
        <w:t>décision</w:t>
      </w:r>
      <w:r w:rsidR="00EE19F8">
        <w:rPr>
          <w:sz w:val="24"/>
          <w:lang w:val="fr-FR"/>
        </w:rPr>
        <w:t xml:space="preserve"> soit prise</w:t>
      </w:r>
      <w:r w:rsidR="0022113F">
        <w:rPr>
          <w:sz w:val="24"/>
          <w:lang w:val="fr-FR"/>
        </w:rPr>
        <w:t xml:space="preserve"> </w:t>
      </w:r>
      <w:r w:rsidR="000D0E1A" w:rsidRPr="009463A6">
        <w:rPr>
          <w:strike/>
          <w:sz w:val="24"/>
          <w:lang w:val="fr-FR"/>
        </w:rPr>
        <w:t>[par consensus] [</w:t>
      </w:r>
      <w:r w:rsidR="0022113F">
        <w:rPr>
          <w:sz w:val="24"/>
          <w:lang w:val="fr-FR"/>
        </w:rPr>
        <w:t>à la majorité au deux tiers</w:t>
      </w:r>
      <w:r w:rsidR="000D0E1A" w:rsidRPr="009463A6">
        <w:rPr>
          <w:strike/>
          <w:sz w:val="24"/>
          <w:lang w:val="fr-FR"/>
        </w:rPr>
        <w:t>]</w:t>
      </w:r>
      <w:r w:rsidR="0022113F" w:rsidRPr="009463A6">
        <w:rPr>
          <w:strike/>
          <w:sz w:val="24"/>
          <w:lang w:val="fr-FR"/>
        </w:rPr>
        <w:t xml:space="preserve"> [à la majorité simple]</w:t>
      </w:r>
      <w:r w:rsidR="0022113F">
        <w:rPr>
          <w:sz w:val="24"/>
          <w:lang w:val="fr-FR"/>
        </w:rPr>
        <w:t>.</w:t>
      </w:r>
    </w:p>
    <w:p w:rsidR="00080E47" w:rsidRPr="00A82AF3" w:rsidRDefault="003E7A04" w:rsidP="00080E47">
      <w:pPr>
        <w:spacing w:after="120"/>
        <w:rPr>
          <w:b/>
          <w:bCs/>
          <w:sz w:val="24"/>
          <w:lang w:val="fr-FR"/>
        </w:rPr>
      </w:pPr>
      <w:r w:rsidRPr="00A82AF3">
        <w:rPr>
          <w:b/>
          <w:bCs/>
          <w:sz w:val="24"/>
          <w:lang w:val="fr-FR"/>
        </w:rPr>
        <w:t>Cessation de</w:t>
      </w:r>
      <w:r w:rsidR="00080E47" w:rsidRPr="00A82AF3">
        <w:rPr>
          <w:b/>
          <w:bCs/>
          <w:sz w:val="24"/>
          <w:lang w:val="fr-FR"/>
        </w:rPr>
        <w:t xml:space="preserve"> partenariat</w:t>
      </w:r>
    </w:p>
    <w:p w:rsidR="0022113F" w:rsidRDefault="00E818B4" w:rsidP="0022113F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bCs/>
          <w:sz w:val="24"/>
          <w:lang w:val="fr-FR"/>
        </w:rPr>
      </w:pPr>
      <w:r>
        <w:rPr>
          <w:bCs/>
          <w:sz w:val="24"/>
          <w:lang w:val="fr-FR"/>
        </w:rPr>
        <w:t>La présente</w:t>
      </w:r>
      <w:r w:rsidR="0022113F" w:rsidRPr="0022113F">
        <w:rPr>
          <w:bCs/>
          <w:sz w:val="24"/>
          <w:lang w:val="fr-FR"/>
        </w:rPr>
        <w:t xml:space="preserve"> section </w:t>
      </w:r>
      <w:r>
        <w:rPr>
          <w:bCs/>
          <w:sz w:val="24"/>
          <w:lang w:val="fr-FR"/>
        </w:rPr>
        <w:t>s’applique</w:t>
      </w:r>
      <w:r w:rsidR="0022113F">
        <w:rPr>
          <w:bCs/>
          <w:sz w:val="24"/>
          <w:lang w:val="fr-FR"/>
        </w:rPr>
        <w:t xml:space="preserve"> uniquement </w:t>
      </w:r>
      <w:r>
        <w:rPr>
          <w:bCs/>
          <w:sz w:val="24"/>
          <w:lang w:val="fr-FR"/>
        </w:rPr>
        <w:t>aux</w:t>
      </w:r>
      <w:r w:rsidR="0022113F">
        <w:rPr>
          <w:bCs/>
          <w:sz w:val="24"/>
          <w:lang w:val="fr-FR"/>
        </w:rPr>
        <w:t xml:space="preserve"> ONG et </w:t>
      </w:r>
      <w:r w:rsidR="0022113F" w:rsidRPr="0022113F">
        <w:rPr>
          <w:bCs/>
          <w:sz w:val="24"/>
          <w:lang w:val="fr-FR"/>
        </w:rPr>
        <w:t xml:space="preserve">autres entités. </w:t>
      </w:r>
    </w:p>
    <w:p w:rsidR="00080E47" w:rsidRPr="0022113F" w:rsidRDefault="003E7A04" w:rsidP="0022113F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bCs/>
          <w:sz w:val="24"/>
          <w:lang w:val="fr-FR"/>
        </w:rPr>
      </w:pPr>
      <w:r w:rsidRPr="0022113F">
        <w:rPr>
          <w:bCs/>
          <w:sz w:val="24"/>
          <w:lang w:val="fr-FR"/>
        </w:rPr>
        <w:t>En cas d’inconduite ou</w:t>
      </w:r>
      <w:r w:rsidR="00080E47" w:rsidRPr="0022113F">
        <w:rPr>
          <w:bCs/>
          <w:sz w:val="24"/>
          <w:lang w:val="fr-FR"/>
        </w:rPr>
        <w:t xml:space="preserve"> de conflit d’intérêt</w:t>
      </w:r>
      <w:r w:rsidRPr="0022113F">
        <w:rPr>
          <w:bCs/>
          <w:sz w:val="24"/>
          <w:lang w:val="fr-FR"/>
        </w:rPr>
        <w:t>s</w:t>
      </w:r>
      <w:r w:rsidR="00080E47" w:rsidRPr="0022113F">
        <w:rPr>
          <w:bCs/>
          <w:sz w:val="24"/>
          <w:lang w:val="fr-FR"/>
        </w:rPr>
        <w:t>, l</w:t>
      </w:r>
      <w:r w:rsidRPr="0022113F">
        <w:rPr>
          <w:bCs/>
          <w:sz w:val="24"/>
          <w:lang w:val="fr-FR"/>
        </w:rPr>
        <w:t>es Signataires peuvent mettre fin à l</w:t>
      </w:r>
      <w:r w:rsidR="00080E47" w:rsidRPr="0022113F">
        <w:rPr>
          <w:bCs/>
          <w:sz w:val="24"/>
          <w:lang w:val="fr-FR"/>
        </w:rPr>
        <w:t>’association</w:t>
      </w:r>
      <w:r w:rsidR="0022113F">
        <w:rPr>
          <w:bCs/>
          <w:sz w:val="24"/>
          <w:lang w:val="fr-FR"/>
        </w:rPr>
        <w:t xml:space="preserve"> avec un partenaire coopérant. </w:t>
      </w:r>
    </w:p>
    <w:p w:rsidR="00080E47" w:rsidRPr="0022113F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bCs/>
          <w:sz w:val="24"/>
          <w:lang w:val="fr-FR"/>
        </w:rPr>
      </w:pPr>
      <w:r w:rsidRPr="0022113F">
        <w:rPr>
          <w:sz w:val="24"/>
          <w:lang w:val="fr-FR"/>
        </w:rPr>
        <w:t xml:space="preserve">La décision de mettre fin à une association avec un partenaire coopérant sera prise à la Réunion des Signataires </w:t>
      </w:r>
      <w:r w:rsidR="00307FF0" w:rsidRPr="0022113F">
        <w:rPr>
          <w:sz w:val="24"/>
          <w:lang w:val="fr-FR"/>
        </w:rPr>
        <w:t xml:space="preserve">[par consensus] </w:t>
      </w:r>
      <w:r w:rsidR="0022113F">
        <w:rPr>
          <w:sz w:val="24"/>
          <w:lang w:val="fr-FR"/>
        </w:rPr>
        <w:t>[</w:t>
      </w:r>
      <w:r w:rsidRPr="0022113F">
        <w:rPr>
          <w:sz w:val="24"/>
          <w:lang w:val="fr-FR"/>
        </w:rPr>
        <w:t>à la majorité des deux tiers</w:t>
      </w:r>
      <w:r w:rsidR="0022113F">
        <w:rPr>
          <w:sz w:val="24"/>
          <w:lang w:val="fr-FR"/>
        </w:rPr>
        <w:t>]</w:t>
      </w:r>
      <w:r w:rsidR="0022113F" w:rsidRPr="0022113F">
        <w:rPr>
          <w:sz w:val="24"/>
          <w:lang w:val="fr-FR"/>
        </w:rPr>
        <w:t xml:space="preserve"> </w:t>
      </w:r>
      <w:r w:rsidR="00307FF0" w:rsidRPr="0022113F">
        <w:rPr>
          <w:sz w:val="24"/>
          <w:lang w:val="fr-FR"/>
        </w:rPr>
        <w:t xml:space="preserve">[à la majorité </w:t>
      </w:r>
      <w:r w:rsidR="00307FF0">
        <w:rPr>
          <w:sz w:val="24"/>
          <w:lang w:val="fr-FR"/>
        </w:rPr>
        <w:t>simple</w:t>
      </w:r>
      <w:r w:rsidR="00307FF0" w:rsidRPr="0022113F">
        <w:rPr>
          <w:sz w:val="24"/>
          <w:lang w:val="fr-FR"/>
        </w:rPr>
        <w:t>]</w:t>
      </w:r>
      <w:r w:rsidR="00307FF0">
        <w:rPr>
          <w:sz w:val="24"/>
          <w:lang w:val="fr-FR"/>
        </w:rPr>
        <w:t>.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bCs/>
          <w:sz w:val="24"/>
          <w:lang w:val="fr-FR"/>
        </w:rPr>
      </w:pPr>
      <w:r w:rsidRPr="00A82AF3">
        <w:rPr>
          <w:bCs/>
          <w:sz w:val="24"/>
          <w:lang w:val="fr-FR"/>
        </w:rPr>
        <w:t>Une</w:t>
      </w:r>
      <w:r w:rsidR="00DC78F7">
        <w:rPr>
          <w:bCs/>
          <w:sz w:val="24"/>
          <w:lang w:val="fr-FR"/>
        </w:rPr>
        <w:t xml:space="preserve"> </w:t>
      </w:r>
      <w:r w:rsidRPr="00A82AF3">
        <w:rPr>
          <w:bCs/>
          <w:sz w:val="24"/>
          <w:lang w:val="fr-FR"/>
        </w:rPr>
        <w:t xml:space="preserve">demande officielle de la part d’un Signataire de mettre </w:t>
      </w:r>
      <w:r w:rsidR="003E7A04" w:rsidRPr="00A82AF3">
        <w:rPr>
          <w:bCs/>
          <w:sz w:val="24"/>
          <w:lang w:val="fr-FR"/>
        </w:rPr>
        <w:t>fin</w:t>
      </w:r>
      <w:r w:rsidRPr="00A82AF3">
        <w:rPr>
          <w:bCs/>
          <w:sz w:val="24"/>
          <w:lang w:val="fr-FR"/>
        </w:rPr>
        <w:t xml:space="preserve"> à une association avec un partenaire coopérant d</w:t>
      </w:r>
      <w:r w:rsidR="003E7A04" w:rsidRPr="00A82AF3">
        <w:rPr>
          <w:bCs/>
          <w:sz w:val="24"/>
          <w:lang w:val="fr-FR"/>
        </w:rPr>
        <w:t>oit</w:t>
      </w:r>
      <w:r w:rsidRPr="00A82AF3">
        <w:rPr>
          <w:bCs/>
          <w:sz w:val="24"/>
          <w:lang w:val="fr-FR"/>
        </w:rPr>
        <w:t xml:space="preserve"> être envoyée au Secrétariat en donnant </w:t>
      </w:r>
      <w:r w:rsidR="003E7A04" w:rsidRPr="00A82AF3">
        <w:rPr>
          <w:bCs/>
          <w:sz w:val="24"/>
          <w:lang w:val="fr-FR"/>
        </w:rPr>
        <w:t>d</w:t>
      </w:r>
      <w:r w:rsidRPr="00A82AF3">
        <w:rPr>
          <w:bCs/>
          <w:sz w:val="24"/>
          <w:lang w:val="fr-FR"/>
        </w:rPr>
        <w:t xml:space="preserve">es raisons détaillées. Le Secrétariat en informera les Signataires dans les 30 jours après la réception. 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bCs/>
          <w:sz w:val="24"/>
          <w:lang w:val="fr-FR"/>
        </w:rPr>
      </w:pPr>
      <w:r w:rsidRPr="00A82AF3">
        <w:rPr>
          <w:bCs/>
          <w:sz w:val="24"/>
          <w:lang w:val="fr-FR"/>
        </w:rPr>
        <w:t xml:space="preserve">Si aucun Signataire n’objecte à la </w:t>
      </w:r>
      <w:r w:rsidR="003E7A04" w:rsidRPr="00A82AF3">
        <w:rPr>
          <w:bCs/>
          <w:sz w:val="24"/>
          <w:lang w:val="fr-FR"/>
        </w:rPr>
        <w:t>cessation</w:t>
      </w:r>
      <w:r w:rsidRPr="00A82AF3">
        <w:rPr>
          <w:bCs/>
          <w:sz w:val="24"/>
          <w:lang w:val="fr-FR"/>
        </w:rPr>
        <w:t xml:space="preserve"> de l’association avec le partenaire coopérant dans les 30 jours après la notification, l’association avec le partenaire coopérant sera suspendue jusqu’à ce qu</w:t>
      </w:r>
      <w:r w:rsidR="003E7A04" w:rsidRPr="00A82AF3">
        <w:rPr>
          <w:bCs/>
          <w:sz w:val="24"/>
          <w:lang w:val="fr-FR"/>
        </w:rPr>
        <w:t>e la Réunion des Signataires</w:t>
      </w:r>
      <w:r w:rsidR="00DC78F7">
        <w:rPr>
          <w:bCs/>
          <w:sz w:val="24"/>
          <w:lang w:val="fr-FR"/>
        </w:rPr>
        <w:t xml:space="preserve"> </w:t>
      </w:r>
      <w:r w:rsidR="003E7A04" w:rsidRPr="00A82AF3">
        <w:rPr>
          <w:bCs/>
          <w:sz w:val="24"/>
          <w:lang w:val="fr-FR"/>
        </w:rPr>
        <w:t>décide de mettre fin à</w:t>
      </w:r>
      <w:r w:rsidRPr="00A82AF3">
        <w:rPr>
          <w:bCs/>
          <w:sz w:val="24"/>
          <w:lang w:val="fr-FR"/>
        </w:rPr>
        <w:t xml:space="preserve"> l’associatio</w:t>
      </w:r>
      <w:r w:rsidR="003E7A04" w:rsidRPr="00A82AF3">
        <w:rPr>
          <w:bCs/>
          <w:sz w:val="24"/>
          <w:lang w:val="fr-FR"/>
        </w:rPr>
        <w:t>n</w:t>
      </w:r>
      <w:r w:rsidRPr="00A82AF3">
        <w:rPr>
          <w:bCs/>
          <w:sz w:val="24"/>
          <w:lang w:val="fr-FR"/>
        </w:rPr>
        <w:t xml:space="preserve">. 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120" w:line="276" w:lineRule="auto"/>
        <w:ind w:left="0" w:firstLine="0"/>
        <w:contextualSpacing w:val="0"/>
        <w:jc w:val="both"/>
        <w:rPr>
          <w:sz w:val="24"/>
          <w:lang w:val="fr-FR"/>
        </w:rPr>
      </w:pPr>
      <w:r w:rsidRPr="00A82AF3">
        <w:rPr>
          <w:bCs/>
          <w:sz w:val="24"/>
          <w:lang w:val="fr-FR"/>
        </w:rPr>
        <w:t xml:space="preserve">Si le Secrétariat reçoit une objection à la </w:t>
      </w:r>
      <w:r w:rsidR="003E7A04" w:rsidRPr="00A82AF3">
        <w:rPr>
          <w:bCs/>
          <w:sz w:val="24"/>
          <w:lang w:val="fr-FR"/>
        </w:rPr>
        <w:t>cessation</w:t>
      </w:r>
      <w:r w:rsidRPr="00A82AF3">
        <w:rPr>
          <w:bCs/>
          <w:sz w:val="24"/>
          <w:lang w:val="fr-FR"/>
        </w:rPr>
        <w:t xml:space="preserve"> de l’association avec le partenaire coopérant dans les 30 jours après la notification, l’association restera en place jusqu’à ce que la Réunion des Signataires décide de mettre </w:t>
      </w:r>
      <w:r w:rsidR="003E7A04" w:rsidRPr="00A82AF3">
        <w:rPr>
          <w:bCs/>
          <w:sz w:val="24"/>
          <w:lang w:val="fr-FR"/>
        </w:rPr>
        <w:t xml:space="preserve">fin </w:t>
      </w:r>
      <w:r w:rsidRPr="00A82AF3">
        <w:rPr>
          <w:bCs/>
          <w:sz w:val="24"/>
          <w:lang w:val="fr-FR"/>
        </w:rPr>
        <w:t>à l’association.</w:t>
      </w:r>
    </w:p>
    <w:p w:rsidR="00080E47" w:rsidRPr="00A82AF3" w:rsidRDefault="00080E47" w:rsidP="00080E47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after="200" w:line="276" w:lineRule="auto"/>
        <w:ind w:left="0" w:firstLine="0"/>
        <w:contextualSpacing w:val="0"/>
        <w:jc w:val="both"/>
        <w:rPr>
          <w:bCs/>
          <w:sz w:val="24"/>
          <w:lang w:val="fr-FR"/>
        </w:rPr>
      </w:pPr>
      <w:r w:rsidRPr="00A82AF3">
        <w:rPr>
          <w:bCs/>
          <w:sz w:val="24"/>
          <w:lang w:val="fr-FR"/>
        </w:rPr>
        <w:t xml:space="preserve">Un partenaire coopérant peut décider de mettre </w:t>
      </w:r>
      <w:r w:rsidR="003E7A04" w:rsidRPr="00A82AF3">
        <w:rPr>
          <w:bCs/>
          <w:sz w:val="24"/>
          <w:lang w:val="fr-FR"/>
        </w:rPr>
        <w:t>fin</w:t>
      </w:r>
      <w:r w:rsidRPr="00A82AF3">
        <w:rPr>
          <w:bCs/>
          <w:sz w:val="24"/>
          <w:lang w:val="fr-FR"/>
        </w:rPr>
        <w:t xml:space="preserve"> à son engagement à tout moment en envoyant une communication écrite au Secrétariat. Celui-ci en informera les Signataires. </w:t>
      </w:r>
    </w:p>
    <w:p w:rsidR="00080E47" w:rsidRPr="00A82AF3" w:rsidRDefault="00080E47" w:rsidP="00080E47">
      <w:pPr>
        <w:spacing w:after="120"/>
        <w:rPr>
          <w:b/>
          <w:bCs/>
          <w:sz w:val="24"/>
          <w:lang w:val="fr-FR"/>
        </w:rPr>
      </w:pPr>
      <w:r w:rsidRPr="00A82AF3">
        <w:rPr>
          <w:b/>
          <w:bCs/>
          <w:sz w:val="24"/>
          <w:lang w:val="fr-FR"/>
        </w:rPr>
        <w:t>Dispositions générales</w:t>
      </w:r>
    </w:p>
    <w:p w:rsidR="00080E47" w:rsidRPr="00A60B9E" w:rsidRDefault="00080E47" w:rsidP="00A60B9E">
      <w:pPr>
        <w:pStyle w:val="Listenabsatz"/>
        <w:widowControl/>
        <w:numPr>
          <w:ilvl w:val="0"/>
          <w:numId w:val="5"/>
        </w:numPr>
        <w:tabs>
          <w:tab w:val="left" w:pos="0"/>
          <w:tab w:val="left" w:pos="720"/>
        </w:tabs>
        <w:autoSpaceDE/>
        <w:autoSpaceDN/>
        <w:adjustRightInd/>
        <w:spacing w:line="276" w:lineRule="auto"/>
        <w:jc w:val="both"/>
        <w:rPr>
          <w:sz w:val="24"/>
          <w:lang w:val="fr-FR"/>
        </w:rPr>
      </w:pPr>
      <w:r w:rsidRPr="00A60B9E">
        <w:rPr>
          <w:sz w:val="24"/>
          <w:lang w:val="fr-FR"/>
        </w:rPr>
        <w:t xml:space="preserve">Les actions </w:t>
      </w:r>
      <w:r w:rsidR="003E7A04" w:rsidRPr="00A60B9E">
        <w:rPr>
          <w:sz w:val="24"/>
          <w:lang w:val="fr-FR"/>
        </w:rPr>
        <w:t>menées par un</w:t>
      </w:r>
      <w:r w:rsidRPr="00A60B9E">
        <w:rPr>
          <w:sz w:val="24"/>
          <w:lang w:val="fr-FR"/>
        </w:rPr>
        <w:t xml:space="preserve"> partenaire coopérant seront considérées</w:t>
      </w:r>
      <w:r w:rsidR="00DC78F7">
        <w:rPr>
          <w:sz w:val="24"/>
          <w:lang w:val="fr-FR"/>
        </w:rPr>
        <w:t xml:space="preserve"> </w:t>
      </w:r>
      <w:r w:rsidRPr="00A60B9E">
        <w:rPr>
          <w:sz w:val="24"/>
          <w:lang w:val="fr-FR"/>
        </w:rPr>
        <w:t xml:space="preserve">comme </w:t>
      </w:r>
      <w:r w:rsidR="003E7A04" w:rsidRPr="00A60B9E">
        <w:rPr>
          <w:sz w:val="24"/>
          <w:lang w:val="fr-FR"/>
        </w:rPr>
        <w:t>relevant uniquement</w:t>
      </w:r>
      <w:r w:rsidRPr="00A60B9E">
        <w:rPr>
          <w:sz w:val="24"/>
          <w:lang w:val="fr-FR"/>
        </w:rPr>
        <w:t xml:space="preserve"> du partenaire, à tou</w:t>
      </w:r>
      <w:r w:rsidR="00A60B9E">
        <w:rPr>
          <w:sz w:val="24"/>
          <w:lang w:val="fr-FR"/>
        </w:rPr>
        <w:t>s égards</w:t>
      </w:r>
      <w:r w:rsidRPr="00A60B9E">
        <w:rPr>
          <w:sz w:val="24"/>
          <w:lang w:val="fr-FR"/>
        </w:rPr>
        <w:t xml:space="preserve">, et un partenaire coopérant ne pourra prétendre agir </w:t>
      </w:r>
      <w:r w:rsidR="003E7A04" w:rsidRPr="00A60B9E">
        <w:rPr>
          <w:sz w:val="24"/>
          <w:lang w:val="fr-FR"/>
        </w:rPr>
        <w:t>pour le compte du</w:t>
      </w:r>
      <w:r w:rsidRPr="00A60B9E">
        <w:rPr>
          <w:sz w:val="24"/>
          <w:lang w:val="fr-FR"/>
        </w:rPr>
        <w:t xml:space="preserve"> </w:t>
      </w:r>
      <w:proofErr w:type="spellStart"/>
      <w:r w:rsidRPr="00A60B9E">
        <w:rPr>
          <w:sz w:val="24"/>
          <w:lang w:val="fr-FR"/>
        </w:rPr>
        <w:t>MdE</w:t>
      </w:r>
      <w:proofErr w:type="spellEnd"/>
      <w:r w:rsidRPr="00A60B9E">
        <w:rPr>
          <w:sz w:val="24"/>
          <w:lang w:val="fr-FR"/>
        </w:rPr>
        <w:t xml:space="preserve"> Requins.</w:t>
      </w:r>
    </w:p>
    <w:sectPr w:rsidR="00080E47" w:rsidRPr="00A60B9E" w:rsidSect="00080E47">
      <w:headerReference w:type="even" r:id="rId10"/>
      <w:headerReference w:type="default" r:id="rId11"/>
      <w:headerReference w:type="first" r:id="rId12"/>
      <w:endnotePr>
        <w:numFmt w:val="decimal"/>
      </w:endnotePr>
      <w:pgSz w:w="11905" w:h="16837" w:code="9"/>
      <w:pgMar w:top="1411" w:right="1411" w:bottom="1411" w:left="1411" w:header="504" w:footer="50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DA" w:rsidRDefault="00BC4EDA" w:rsidP="00080E47">
      <w:r>
        <w:separator/>
      </w:r>
    </w:p>
  </w:endnote>
  <w:endnote w:type="continuationSeparator" w:id="0">
    <w:p w:rsidR="00BC4EDA" w:rsidRDefault="00BC4EDA" w:rsidP="000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DA" w:rsidRDefault="00BC4EDA" w:rsidP="00080E47">
      <w:r>
        <w:separator/>
      </w:r>
    </w:p>
  </w:footnote>
  <w:footnote w:type="continuationSeparator" w:id="0">
    <w:p w:rsidR="00BC4EDA" w:rsidRDefault="00BC4EDA" w:rsidP="00080E47">
      <w:r>
        <w:continuationSeparator/>
      </w:r>
    </w:p>
  </w:footnote>
  <w:footnote w:id="1">
    <w:p w:rsidR="00080E47" w:rsidRPr="00D5203F" w:rsidRDefault="00080E47" w:rsidP="00A82AF3">
      <w:pPr>
        <w:pStyle w:val="Default"/>
        <w:jc w:val="both"/>
        <w:rPr>
          <w:lang w:val="fr-FR"/>
        </w:rPr>
      </w:pPr>
      <w:r w:rsidRPr="00930A74">
        <w:rPr>
          <w:rStyle w:val="Funotenzeichen"/>
          <w:vertAlign w:val="superscript"/>
        </w:rPr>
        <w:footnoteRef/>
      </w:r>
      <w:r>
        <w:rPr>
          <w:lang w:val="fr-FR"/>
        </w:rPr>
        <w:t xml:space="preserve"> « </w:t>
      </w:r>
      <w:r w:rsidRPr="00D5203F">
        <w:rPr>
          <w:i/>
          <w:sz w:val="23"/>
          <w:szCs w:val="23"/>
          <w:lang w:val="fr-FR"/>
        </w:rPr>
        <w:t>Tout organe scientifique, écologique, culturel, de pêcherie ou technique pertinent qui s’intéresse à la conservation et à la gestion des ressources marines vivantes ou à la conservation et à la gestion des requins</w:t>
      </w:r>
      <w:r>
        <w:rPr>
          <w:i/>
          <w:sz w:val="23"/>
          <w:szCs w:val="23"/>
          <w:lang w:val="fr-FR"/>
        </w:rPr>
        <w:t> ».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4BF" w:rsidRPr="000534BF" w:rsidRDefault="003A53C7" w:rsidP="000534BF">
    <w:pPr>
      <w:pBdr>
        <w:bottom w:val="single" w:sz="4" w:space="1" w:color="auto"/>
      </w:pBdr>
      <w:ind w:left="-36" w:right="-108"/>
      <w:jc w:val="both"/>
      <w:rPr>
        <w:i/>
        <w:sz w:val="22"/>
        <w:szCs w:val="22"/>
      </w:rPr>
    </w:pPr>
    <w:r w:rsidRPr="000534BF">
      <w:rPr>
        <w:i/>
        <w:sz w:val="22"/>
        <w:szCs w:val="22"/>
      </w:rPr>
      <w:t>CMS/Sharks/MOS2/</w:t>
    </w:r>
    <w:r w:rsidR="00A82AF3">
      <w:rPr>
        <w:i/>
        <w:sz w:val="22"/>
        <w:szCs w:val="22"/>
      </w:rPr>
      <w:t>CRP5</w:t>
    </w:r>
  </w:p>
  <w:p w:rsidR="000534BF" w:rsidRDefault="008F6820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4BF" w:rsidRPr="000534BF" w:rsidRDefault="003A53C7" w:rsidP="000534BF">
    <w:pPr>
      <w:pBdr>
        <w:bottom w:val="single" w:sz="4" w:space="1" w:color="auto"/>
      </w:pBdr>
      <w:ind w:left="-36" w:right="-108"/>
      <w:jc w:val="right"/>
      <w:rPr>
        <w:i/>
        <w:sz w:val="22"/>
        <w:szCs w:val="22"/>
      </w:rPr>
    </w:pPr>
    <w:r w:rsidRPr="000534BF">
      <w:rPr>
        <w:i/>
        <w:sz w:val="22"/>
        <w:szCs w:val="22"/>
      </w:rPr>
      <w:t>CMS/Sharks/MOS2/</w:t>
    </w:r>
    <w:r w:rsidR="00A82AF3">
      <w:rPr>
        <w:i/>
        <w:sz w:val="22"/>
        <w:szCs w:val="22"/>
      </w:rPr>
      <w:t>CRP5</w:t>
    </w:r>
  </w:p>
  <w:p w:rsidR="000534BF" w:rsidRPr="000C1BCF" w:rsidRDefault="008F6820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Y="294"/>
      <w:tblW w:w="9228" w:type="dxa"/>
      <w:tblBorders>
        <w:insideV w:val="single" w:sz="12" w:space="0" w:color="auto"/>
      </w:tblBorders>
      <w:tblLayout w:type="fixed"/>
      <w:tblCellMar>
        <w:top w:w="198" w:type="dxa"/>
      </w:tblCellMar>
      <w:tblLook w:val="0000" w:firstRow="0" w:lastRow="0" w:firstColumn="0" w:lastColumn="0" w:noHBand="0" w:noVBand="0"/>
    </w:tblPr>
    <w:tblGrid>
      <w:gridCol w:w="1596"/>
      <w:gridCol w:w="4618"/>
      <w:gridCol w:w="3014"/>
    </w:tblGrid>
    <w:tr w:rsidR="00A60B9E" w:rsidRPr="00A82AF3" w:rsidTr="00DF1BE7">
      <w:trPr>
        <w:cantSplit/>
        <w:trHeight w:val="755"/>
      </w:trPr>
      <w:tc>
        <w:tcPr>
          <w:tcW w:w="9228" w:type="dxa"/>
          <w:gridSpan w:val="3"/>
          <w:tcBorders>
            <w:bottom w:val="single" w:sz="12" w:space="0" w:color="auto"/>
          </w:tcBorders>
          <w:tcMar>
            <w:top w:w="85" w:type="dxa"/>
          </w:tcMar>
        </w:tcPr>
        <w:p w:rsidR="00A60B9E" w:rsidRPr="00A82AF3" w:rsidRDefault="00A60B9E" w:rsidP="00DF1BE7">
          <w:pPr>
            <w:tabs>
              <w:tab w:val="left" w:pos="-1057"/>
              <w:tab w:val="left" w:pos="-720"/>
              <w:tab w:val="left" w:pos="0"/>
              <w:tab w:val="left" w:pos="141"/>
              <w:tab w:val="left" w:pos="720"/>
              <w:tab w:val="left" w:pos="2404"/>
              <w:tab w:val="right" w:pos="8955"/>
            </w:tabs>
            <w:jc w:val="both"/>
            <w:rPr>
              <w:sz w:val="22"/>
              <w:lang w:val="fr-FR"/>
            </w:rPr>
          </w:pPr>
          <w:r w:rsidRPr="00A82AF3">
            <w:rPr>
              <w:noProof/>
              <w:sz w:val="22"/>
              <w:szCs w:val="22"/>
              <w:lang w:val="de-DE" w:eastAsia="de-DE"/>
            </w:rPr>
            <w:drawing>
              <wp:inline distT="0" distB="0" distL="0" distR="0" wp14:anchorId="576C76EA" wp14:editId="771AC519">
                <wp:extent cx="323850" cy="3429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897" t="-2637" r="-3897" b="-26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82AF3">
            <w:rPr>
              <w:noProof/>
              <w:sz w:val="22"/>
              <w:szCs w:val="22"/>
              <w:lang w:val="de-DE" w:eastAsia="de-DE"/>
            </w:rPr>
            <w:drawing>
              <wp:inline distT="0" distB="0" distL="0" distR="0" wp14:anchorId="590844F8" wp14:editId="2D4AC5B9">
                <wp:extent cx="361950" cy="381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6" t="-1329" r="60167" b="487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82AF3">
            <w:rPr>
              <w:sz w:val="22"/>
              <w:szCs w:val="22"/>
              <w:lang w:val="fr-FR"/>
            </w:rPr>
            <w:tab/>
          </w:r>
          <w:r>
            <w:rPr>
              <w:sz w:val="22"/>
              <w:szCs w:val="22"/>
              <w:lang w:val="fr-FR"/>
            </w:rPr>
            <w:tab/>
          </w:r>
          <w:r w:rsidRPr="00A82AF3">
            <w:rPr>
              <w:noProof/>
              <w:lang w:val="de-DE" w:eastAsia="de-DE"/>
            </w:rPr>
            <w:drawing>
              <wp:inline distT="0" distB="0" distL="0" distR="0" wp14:anchorId="289005B4" wp14:editId="38378669">
                <wp:extent cx="342900" cy="3619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524" t="-717" r="-2524" b="-7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60B9E" w:rsidRPr="00A82AF3" w:rsidTr="00DF1BE7">
      <w:trPr>
        <w:trHeight w:val="1653"/>
      </w:trPr>
      <w:tc>
        <w:tcPr>
          <w:tcW w:w="1596" w:type="dxa"/>
          <w:tcBorders>
            <w:top w:val="single" w:sz="12" w:space="0" w:color="auto"/>
            <w:bottom w:val="single" w:sz="12" w:space="0" w:color="auto"/>
            <w:right w:val="nil"/>
          </w:tcBorders>
          <w:tcMar>
            <w:top w:w="85" w:type="dxa"/>
          </w:tcMar>
        </w:tcPr>
        <w:p w:rsidR="00A60B9E" w:rsidRPr="00A82AF3" w:rsidRDefault="00A60B9E" w:rsidP="00DF1BE7">
          <w:pPr>
            <w:jc w:val="both"/>
            <w:rPr>
              <w:sz w:val="22"/>
              <w:lang w:val="fr-FR"/>
            </w:rPr>
          </w:pPr>
          <w:r w:rsidRPr="00A82AF3"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452C3094" wp14:editId="4B506DB7">
                <wp:simplePos x="0" y="0"/>
                <wp:positionH relativeFrom="column">
                  <wp:posOffset>4445</wp:posOffset>
                </wp:positionH>
                <wp:positionV relativeFrom="paragraph">
                  <wp:posOffset>-15240</wp:posOffset>
                </wp:positionV>
                <wp:extent cx="1029970" cy="87947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97" t="4031" r="6290" b="38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18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tcMar>
            <w:top w:w="85" w:type="dxa"/>
          </w:tcMar>
        </w:tcPr>
        <w:p w:rsidR="00A60B9E" w:rsidRPr="00A82AF3" w:rsidRDefault="00A60B9E" w:rsidP="00DF1BE7">
          <w:pPr>
            <w:ind w:left="274"/>
            <w:rPr>
              <w:b/>
              <w:bCs/>
              <w:sz w:val="22"/>
              <w:lang w:val="fr-FR"/>
            </w:rPr>
          </w:pPr>
          <w:r w:rsidRPr="00A82AF3">
            <w:rPr>
              <w:b/>
              <w:bCs/>
              <w:szCs w:val="22"/>
              <w:lang w:val="fr-FR"/>
            </w:rPr>
            <w:t>MÉ</w:t>
          </w:r>
          <w:r>
            <w:rPr>
              <w:b/>
              <w:bCs/>
              <w:szCs w:val="22"/>
              <w:lang w:val="fr-FR"/>
            </w:rPr>
            <w:t xml:space="preserve">MORANDUM D’ENTENTE SUR LA </w:t>
          </w:r>
          <w:r w:rsidRPr="00A82AF3">
            <w:rPr>
              <w:b/>
              <w:bCs/>
              <w:szCs w:val="22"/>
              <w:lang w:val="fr-FR"/>
            </w:rPr>
            <w:t xml:space="preserve">CONSERVATION DES REQUINS MIGRATEURS </w:t>
          </w:r>
        </w:p>
      </w:tc>
      <w:tc>
        <w:tcPr>
          <w:tcW w:w="3013" w:type="dxa"/>
          <w:tcBorders>
            <w:top w:val="single" w:sz="12" w:space="0" w:color="auto"/>
            <w:left w:val="nil"/>
            <w:bottom w:val="single" w:sz="12" w:space="0" w:color="auto"/>
          </w:tcBorders>
          <w:tcMar>
            <w:top w:w="85" w:type="dxa"/>
          </w:tcMar>
        </w:tcPr>
        <w:p w:rsidR="00A60B9E" w:rsidRPr="00A60B9E" w:rsidRDefault="00A60B9E" w:rsidP="00DF1BE7">
          <w:pPr>
            <w:jc w:val="both"/>
            <w:rPr>
              <w:sz w:val="22"/>
              <w:lang w:val="en-GB"/>
            </w:rPr>
          </w:pPr>
          <w:r w:rsidRPr="00A60B9E">
            <w:rPr>
              <w:sz w:val="22"/>
              <w:szCs w:val="22"/>
              <w:lang w:val="en-GB"/>
            </w:rPr>
            <w:t>CMS/Sharks/MOS2/CRP5</w:t>
          </w:r>
        </w:p>
        <w:p w:rsidR="00A60B9E" w:rsidRPr="00A60B9E" w:rsidRDefault="00A60B9E" w:rsidP="00DF1BE7">
          <w:pPr>
            <w:jc w:val="both"/>
            <w:rPr>
              <w:sz w:val="22"/>
              <w:lang w:val="en-GB"/>
            </w:rPr>
          </w:pPr>
        </w:p>
        <w:p w:rsidR="00A60B9E" w:rsidRPr="00A60B9E" w:rsidRDefault="00A60B9E" w:rsidP="00DF1BE7">
          <w:pPr>
            <w:jc w:val="both"/>
            <w:rPr>
              <w:sz w:val="22"/>
              <w:lang w:val="en-GB"/>
            </w:rPr>
          </w:pPr>
          <w:r w:rsidRPr="00A60B9E">
            <w:rPr>
              <w:sz w:val="22"/>
              <w:szCs w:val="22"/>
              <w:lang w:val="en-GB"/>
            </w:rPr>
            <w:t xml:space="preserve">18 </w:t>
          </w:r>
          <w:proofErr w:type="spellStart"/>
          <w:r w:rsidRPr="00A60B9E">
            <w:rPr>
              <w:sz w:val="22"/>
              <w:szCs w:val="22"/>
              <w:lang w:val="en-GB"/>
            </w:rPr>
            <w:t>février</w:t>
          </w:r>
          <w:proofErr w:type="spellEnd"/>
          <w:r w:rsidRPr="00A60B9E">
            <w:rPr>
              <w:sz w:val="22"/>
              <w:szCs w:val="22"/>
              <w:lang w:val="en-GB"/>
            </w:rPr>
            <w:t xml:space="preserve"> 2016</w:t>
          </w:r>
        </w:p>
        <w:p w:rsidR="00A60B9E" w:rsidRPr="00A60B9E" w:rsidRDefault="00A60B9E" w:rsidP="00DF1BE7">
          <w:pPr>
            <w:jc w:val="both"/>
            <w:rPr>
              <w:sz w:val="22"/>
              <w:lang w:val="en-GB"/>
            </w:rPr>
          </w:pPr>
        </w:p>
        <w:p w:rsidR="00A60B9E" w:rsidRPr="00A82AF3" w:rsidRDefault="00A60B9E" w:rsidP="00DF1BE7">
          <w:pPr>
            <w:jc w:val="both"/>
            <w:rPr>
              <w:sz w:val="22"/>
              <w:lang w:val="fr-FR"/>
            </w:rPr>
          </w:pPr>
          <w:r w:rsidRPr="00A82AF3">
            <w:rPr>
              <w:sz w:val="22"/>
              <w:szCs w:val="22"/>
              <w:lang w:val="fr-FR"/>
            </w:rPr>
            <w:t>Français</w:t>
          </w:r>
        </w:p>
        <w:p w:rsidR="00A60B9E" w:rsidRPr="00A82AF3" w:rsidRDefault="00A60B9E" w:rsidP="00DF1BE7">
          <w:pPr>
            <w:jc w:val="both"/>
            <w:rPr>
              <w:sz w:val="22"/>
              <w:lang w:val="fr-FR"/>
            </w:rPr>
          </w:pPr>
          <w:r w:rsidRPr="00A82AF3">
            <w:rPr>
              <w:sz w:val="22"/>
              <w:szCs w:val="22"/>
              <w:lang w:val="fr-FR"/>
            </w:rPr>
            <w:t>Original: Anglais</w:t>
          </w:r>
        </w:p>
      </w:tc>
    </w:tr>
  </w:tbl>
  <w:p w:rsidR="000C1BCF" w:rsidRPr="000C1BCF" w:rsidRDefault="000C1BC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6D2"/>
    <w:multiLevelType w:val="hybridMultilevel"/>
    <w:tmpl w:val="8F32F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2129E"/>
    <w:multiLevelType w:val="multilevel"/>
    <w:tmpl w:val="C944DB7E"/>
    <w:numStyleLink w:val="Style1"/>
  </w:abstractNum>
  <w:abstractNum w:abstractNumId="2">
    <w:nsid w:val="12306AF1"/>
    <w:multiLevelType w:val="hybridMultilevel"/>
    <w:tmpl w:val="BCD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F58"/>
    <w:multiLevelType w:val="hybridMultilevel"/>
    <w:tmpl w:val="8B0A61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711CB"/>
    <w:multiLevelType w:val="multilevel"/>
    <w:tmpl w:val="C944DB7E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A6AF2"/>
    <w:multiLevelType w:val="multilevel"/>
    <w:tmpl w:val="2410D1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932727A"/>
    <w:multiLevelType w:val="multilevel"/>
    <w:tmpl w:val="FFF033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(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E3C3FBE"/>
    <w:multiLevelType w:val="hybridMultilevel"/>
    <w:tmpl w:val="31D040A0"/>
    <w:lvl w:ilvl="0" w:tplc="6B66937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3FA0630"/>
    <w:multiLevelType w:val="hybridMultilevel"/>
    <w:tmpl w:val="3886D2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0758C"/>
    <w:multiLevelType w:val="hybridMultilevel"/>
    <w:tmpl w:val="79263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304FF"/>
    <w:multiLevelType w:val="hybridMultilevel"/>
    <w:tmpl w:val="53C4ECDC"/>
    <w:lvl w:ilvl="0" w:tplc="4E8000EC">
      <w:start w:val="1"/>
      <w:numFmt w:val="lowerLetter"/>
      <w:lvlText w:val="%1)"/>
      <w:lvlJc w:val="left"/>
      <w:pPr>
        <w:ind w:left="780" w:hanging="360"/>
      </w:pPr>
      <w:rPr>
        <w:rFonts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ert Vagg">
    <w15:presenceInfo w15:providerId="AD" w15:userId="S-1-5-21-95821832-833947585-1217154298-16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14"/>
    <w:rsid w:val="000032D0"/>
    <w:rsid w:val="000361D1"/>
    <w:rsid w:val="00041B15"/>
    <w:rsid w:val="00043ED8"/>
    <w:rsid w:val="000505B4"/>
    <w:rsid w:val="00080E47"/>
    <w:rsid w:val="000C1BCF"/>
    <w:rsid w:val="000D0E1A"/>
    <w:rsid w:val="00143C1E"/>
    <w:rsid w:val="001B6B92"/>
    <w:rsid w:val="001F3155"/>
    <w:rsid w:val="0022113F"/>
    <w:rsid w:val="00307FF0"/>
    <w:rsid w:val="003431CA"/>
    <w:rsid w:val="003A53C7"/>
    <w:rsid w:val="003B7B4F"/>
    <w:rsid w:val="003B7F76"/>
    <w:rsid w:val="003E321E"/>
    <w:rsid w:val="003E7A04"/>
    <w:rsid w:val="00462232"/>
    <w:rsid w:val="00465072"/>
    <w:rsid w:val="0048633E"/>
    <w:rsid w:val="00490565"/>
    <w:rsid w:val="004C28F1"/>
    <w:rsid w:val="004E2BBA"/>
    <w:rsid w:val="005C02FA"/>
    <w:rsid w:val="0061372A"/>
    <w:rsid w:val="00693A52"/>
    <w:rsid w:val="00697564"/>
    <w:rsid w:val="006B247E"/>
    <w:rsid w:val="0075642E"/>
    <w:rsid w:val="007B4991"/>
    <w:rsid w:val="00823B81"/>
    <w:rsid w:val="008761D2"/>
    <w:rsid w:val="008B43C0"/>
    <w:rsid w:val="008F6820"/>
    <w:rsid w:val="00901D65"/>
    <w:rsid w:val="009463A6"/>
    <w:rsid w:val="00972B4D"/>
    <w:rsid w:val="009A4757"/>
    <w:rsid w:val="009A5BCD"/>
    <w:rsid w:val="00A151D1"/>
    <w:rsid w:val="00A32BBF"/>
    <w:rsid w:val="00A60B9E"/>
    <w:rsid w:val="00A82AF3"/>
    <w:rsid w:val="00AA2B90"/>
    <w:rsid w:val="00AF47C9"/>
    <w:rsid w:val="00B23D89"/>
    <w:rsid w:val="00B25614"/>
    <w:rsid w:val="00B51DB3"/>
    <w:rsid w:val="00B75B8E"/>
    <w:rsid w:val="00B8390D"/>
    <w:rsid w:val="00BC4EDA"/>
    <w:rsid w:val="00BF1444"/>
    <w:rsid w:val="00C93282"/>
    <w:rsid w:val="00CA2570"/>
    <w:rsid w:val="00CC20A5"/>
    <w:rsid w:val="00D65275"/>
    <w:rsid w:val="00D753C3"/>
    <w:rsid w:val="00DB186C"/>
    <w:rsid w:val="00DB41F8"/>
    <w:rsid w:val="00DC78F7"/>
    <w:rsid w:val="00E00003"/>
    <w:rsid w:val="00E10CCB"/>
    <w:rsid w:val="00E72512"/>
    <w:rsid w:val="00E818B4"/>
    <w:rsid w:val="00EE19F8"/>
    <w:rsid w:val="00F34CE9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qFormat/>
    <w:rsid w:val="00B25614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Cambria" w:hAnsi="Cambria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B25614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B25614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B25614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B25614"/>
    <w:rPr>
      <w:rFonts w:ascii="Times New Roman" w:eastAsia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25614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25614"/>
    <w:rPr>
      <w:rFonts w:ascii="Segoe UI" w:eastAsia="Times New Roman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25614"/>
    <w:pPr>
      <w:ind w:left="720"/>
      <w:contextualSpacing/>
    </w:pPr>
  </w:style>
  <w:style w:type="character" w:customStyle="1" w:styleId="berschrift9Zeichen">
    <w:name w:val="Überschrift 9 Zeichen"/>
    <w:basedOn w:val="Absatzstandardschriftart"/>
    <w:link w:val="berschrift9"/>
    <w:uiPriority w:val="9"/>
    <w:rsid w:val="00B25614"/>
    <w:rPr>
      <w:rFonts w:ascii="Cambria" w:eastAsia="Times New Roman" w:hAnsi="Cambria" w:cs="Times New Roman"/>
      <w:sz w:val="20"/>
      <w:szCs w:val="20"/>
    </w:rPr>
  </w:style>
  <w:style w:type="character" w:styleId="Seitenzahl">
    <w:name w:val="page number"/>
    <w:basedOn w:val="Absatzstandardschriftart"/>
    <w:rsid w:val="00080E47"/>
  </w:style>
  <w:style w:type="paragraph" w:styleId="Kopfzeile">
    <w:name w:val="header"/>
    <w:basedOn w:val="Standard"/>
    <w:link w:val="KopfzeileZeichen"/>
    <w:rsid w:val="00080E47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KopfzeileZeichen">
    <w:name w:val="Kopfzeile Zeichen"/>
    <w:basedOn w:val="Absatzstandardschriftart"/>
    <w:link w:val="Kopfzeile"/>
    <w:rsid w:val="00080E4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uzeile">
    <w:name w:val="footer"/>
    <w:basedOn w:val="Standard"/>
    <w:link w:val="FuzeileZeichen"/>
    <w:uiPriority w:val="99"/>
    <w:rsid w:val="00080E47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80E47"/>
    <w:rPr>
      <w:rFonts w:ascii="Times New Roman" w:eastAsia="Times New Roman" w:hAnsi="Times New Roman" w:cs="Times New Roman"/>
      <w:sz w:val="20"/>
      <w:szCs w:val="24"/>
    </w:rPr>
  </w:style>
  <w:style w:type="character" w:styleId="Funotenzeichen">
    <w:name w:val="footnote reference"/>
    <w:semiHidden/>
    <w:rsid w:val="00080E47"/>
  </w:style>
  <w:style w:type="paragraph" w:customStyle="1" w:styleId="Default">
    <w:name w:val="Default"/>
    <w:rsid w:val="00080E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numbering" w:customStyle="1" w:styleId="Style1">
    <w:name w:val="Style1"/>
    <w:uiPriority w:val="99"/>
    <w:rsid w:val="00080E47"/>
    <w:pPr>
      <w:numPr>
        <w:numId w:val="8"/>
      </w:numPr>
    </w:p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3E321E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3E321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qFormat/>
    <w:rsid w:val="00B25614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Cambria" w:hAnsi="Cambria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B25614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B25614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B25614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B25614"/>
    <w:rPr>
      <w:rFonts w:ascii="Times New Roman" w:eastAsia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25614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25614"/>
    <w:rPr>
      <w:rFonts w:ascii="Segoe UI" w:eastAsia="Times New Roman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25614"/>
    <w:pPr>
      <w:ind w:left="720"/>
      <w:contextualSpacing/>
    </w:pPr>
  </w:style>
  <w:style w:type="character" w:customStyle="1" w:styleId="berschrift9Zeichen">
    <w:name w:val="Überschrift 9 Zeichen"/>
    <w:basedOn w:val="Absatzstandardschriftart"/>
    <w:link w:val="berschrift9"/>
    <w:uiPriority w:val="9"/>
    <w:rsid w:val="00B25614"/>
    <w:rPr>
      <w:rFonts w:ascii="Cambria" w:eastAsia="Times New Roman" w:hAnsi="Cambria" w:cs="Times New Roman"/>
      <w:sz w:val="20"/>
      <w:szCs w:val="20"/>
    </w:rPr>
  </w:style>
  <w:style w:type="character" w:styleId="Seitenzahl">
    <w:name w:val="page number"/>
    <w:basedOn w:val="Absatzstandardschriftart"/>
    <w:rsid w:val="00080E47"/>
  </w:style>
  <w:style w:type="paragraph" w:styleId="Kopfzeile">
    <w:name w:val="header"/>
    <w:basedOn w:val="Standard"/>
    <w:link w:val="KopfzeileZeichen"/>
    <w:rsid w:val="00080E47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KopfzeileZeichen">
    <w:name w:val="Kopfzeile Zeichen"/>
    <w:basedOn w:val="Absatzstandardschriftart"/>
    <w:link w:val="Kopfzeile"/>
    <w:rsid w:val="00080E4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uzeile">
    <w:name w:val="footer"/>
    <w:basedOn w:val="Standard"/>
    <w:link w:val="FuzeileZeichen"/>
    <w:uiPriority w:val="99"/>
    <w:rsid w:val="00080E47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80E47"/>
    <w:rPr>
      <w:rFonts w:ascii="Times New Roman" w:eastAsia="Times New Roman" w:hAnsi="Times New Roman" w:cs="Times New Roman"/>
      <w:sz w:val="20"/>
      <w:szCs w:val="24"/>
    </w:rPr>
  </w:style>
  <w:style w:type="character" w:styleId="Funotenzeichen">
    <w:name w:val="footnote reference"/>
    <w:semiHidden/>
    <w:rsid w:val="00080E47"/>
  </w:style>
  <w:style w:type="paragraph" w:customStyle="1" w:styleId="Default">
    <w:name w:val="Default"/>
    <w:rsid w:val="00080E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/>
    </w:rPr>
  </w:style>
  <w:style w:type="numbering" w:customStyle="1" w:styleId="Style1">
    <w:name w:val="Style1"/>
    <w:uiPriority w:val="99"/>
    <w:rsid w:val="00080E47"/>
    <w:pPr>
      <w:numPr>
        <w:numId w:val="8"/>
      </w:numPr>
    </w:p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3E321E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3E321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linguee.com/french-english/translation/f%C3%A9vrier.html" TargetMode="External"/><Relationship Id="rId27" Type="http://schemas.microsoft.com/office/2011/relationships/people" Target="people.xml"/><Relationship Id="rId10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4" Type="http://schemas.openxmlformats.org/officeDocument/2006/relationships/image" Target="media/image4.jpe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0353-B51F-8846-901E-3574A009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6011</Characters>
  <Application>Microsoft Macintosh Word</Application>
  <DocSecurity>0</DocSecurity>
  <Lines>50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Meyers</dc:creator>
  <cp:lastModifiedBy>Eva Meyers</cp:lastModifiedBy>
  <cp:revision>2</cp:revision>
  <cp:lastPrinted>2015-12-18T18:08:00Z</cp:lastPrinted>
  <dcterms:created xsi:type="dcterms:W3CDTF">2016-02-18T14:36:00Z</dcterms:created>
  <dcterms:modified xsi:type="dcterms:W3CDTF">2016-02-18T14:36:00Z</dcterms:modified>
</cp:coreProperties>
</file>