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94"/>
        <w:tblW w:w="9228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96"/>
        <w:gridCol w:w="4618"/>
        <w:gridCol w:w="3014"/>
      </w:tblGrid>
      <w:tr w:rsidR="002D32E3" w:rsidRPr="009116D8" w:rsidTr="00500A7E">
        <w:trPr>
          <w:cantSplit/>
          <w:trHeight w:val="755"/>
        </w:trPr>
        <w:tc>
          <w:tcPr>
            <w:tcW w:w="9228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2D32E3" w:rsidRPr="009116D8" w:rsidRDefault="002D32E3" w:rsidP="002D32E3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fr-FR"/>
              </w:rPr>
            </w:pPr>
            <w:r w:rsidRPr="009116D8">
              <w:rPr>
                <w:noProof/>
                <w:sz w:val="22"/>
                <w:szCs w:val="22"/>
              </w:rPr>
              <w:drawing>
                <wp:inline distT="0" distB="0" distL="0" distR="0" wp14:anchorId="77854E46" wp14:editId="5018D967">
                  <wp:extent cx="323850" cy="342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97" t="-2637" r="-3897" b="-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6D8">
              <w:rPr>
                <w:noProof/>
                <w:sz w:val="22"/>
                <w:szCs w:val="22"/>
              </w:rPr>
              <w:drawing>
                <wp:inline distT="0" distB="0" distL="0" distR="0" wp14:anchorId="64591590" wp14:editId="489D2AA6">
                  <wp:extent cx="361950" cy="381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" t="-1329" r="60167" b="48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6D8">
              <w:rPr>
                <w:sz w:val="22"/>
                <w:szCs w:val="22"/>
                <w:lang w:val="fr-FR"/>
              </w:rPr>
              <w:tab/>
            </w:r>
            <w:r w:rsidRPr="009116D8">
              <w:rPr>
                <w:noProof/>
              </w:rPr>
              <w:drawing>
                <wp:inline distT="0" distB="0" distL="0" distR="0" wp14:anchorId="507A0D60" wp14:editId="75600B5E">
                  <wp:extent cx="342900" cy="3619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4" t="-717" r="-2524" b="-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2E3" w:rsidRPr="009116D8" w:rsidTr="00500A7E">
        <w:trPr>
          <w:trHeight w:val="1653"/>
        </w:trPr>
        <w:tc>
          <w:tcPr>
            <w:tcW w:w="159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2D32E3" w:rsidRPr="009116D8" w:rsidRDefault="002D32E3" w:rsidP="002D32E3">
            <w:pPr>
              <w:jc w:val="both"/>
              <w:rPr>
                <w:sz w:val="22"/>
                <w:szCs w:val="22"/>
                <w:lang w:val="fr-FR"/>
              </w:rPr>
            </w:pPr>
            <w:r w:rsidRPr="009116D8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00A0F9C8" wp14:editId="3A9B1F0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2D32E3" w:rsidRPr="009116D8" w:rsidRDefault="002D32E3" w:rsidP="002D32E3">
            <w:pPr>
              <w:ind w:left="274"/>
              <w:rPr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b/>
                <w:bCs/>
                <w:szCs w:val="22"/>
                <w:lang w:val="fr-FR"/>
              </w:rPr>
              <w:t>MÉMORANDUM D</w:t>
            </w:r>
            <w:r w:rsidR="009116D8">
              <w:rPr>
                <w:b/>
                <w:bCs/>
                <w:szCs w:val="22"/>
                <w:lang w:val="fr-FR"/>
              </w:rPr>
              <w:t>’</w:t>
            </w:r>
            <w:r w:rsidRPr="009116D8">
              <w:rPr>
                <w:b/>
                <w:bCs/>
                <w:szCs w:val="22"/>
                <w:lang w:val="fr-FR"/>
              </w:rPr>
              <w:t>ENTENTE SUR LA</w:t>
            </w:r>
            <w:r w:rsidR="006C7D30" w:rsidRPr="009116D8">
              <w:rPr>
                <w:b/>
                <w:bCs/>
                <w:szCs w:val="22"/>
                <w:lang w:val="fr-FR"/>
              </w:rPr>
              <w:t xml:space="preserve"> </w:t>
            </w:r>
            <w:r w:rsidRPr="009116D8">
              <w:rPr>
                <w:b/>
                <w:bCs/>
                <w:szCs w:val="22"/>
                <w:lang w:val="fr-FR"/>
              </w:rPr>
              <w:t xml:space="preserve">CONSERVATION DES REQUINS MIGRATEURS </w:t>
            </w:r>
          </w:p>
        </w:tc>
        <w:tc>
          <w:tcPr>
            <w:tcW w:w="3013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2D32E3" w:rsidRPr="004D14BF" w:rsidRDefault="002D32E3" w:rsidP="002D32E3">
            <w:pPr>
              <w:jc w:val="both"/>
              <w:rPr>
                <w:sz w:val="22"/>
                <w:szCs w:val="22"/>
              </w:rPr>
            </w:pPr>
            <w:r w:rsidRPr="004D14BF">
              <w:rPr>
                <w:sz w:val="22"/>
                <w:szCs w:val="22"/>
              </w:rPr>
              <w:t>CMS/Sharks/MOS2/Doc.10.1</w:t>
            </w:r>
            <w:r w:rsidR="004D14BF" w:rsidRPr="004D14BF">
              <w:rPr>
                <w:sz w:val="22"/>
                <w:szCs w:val="22"/>
              </w:rPr>
              <w:t>/ Rev.</w:t>
            </w:r>
            <w:r w:rsidR="004D14BF">
              <w:rPr>
                <w:sz w:val="22"/>
                <w:szCs w:val="22"/>
              </w:rPr>
              <w:t>1</w:t>
            </w:r>
          </w:p>
          <w:p w:rsidR="002D32E3" w:rsidRPr="004D14BF" w:rsidRDefault="002D32E3" w:rsidP="002D32E3">
            <w:pPr>
              <w:jc w:val="both"/>
              <w:rPr>
                <w:sz w:val="22"/>
                <w:szCs w:val="22"/>
              </w:rPr>
            </w:pPr>
          </w:p>
          <w:p w:rsidR="002D32E3" w:rsidRPr="009116D8" w:rsidRDefault="00EB2C14" w:rsidP="002D32E3">
            <w:pPr>
              <w:jc w:val="both"/>
              <w:rPr>
                <w:sz w:val="22"/>
                <w:szCs w:val="22"/>
                <w:lang w:val="fr-FR"/>
              </w:rPr>
            </w:pPr>
            <w:r w:rsidRPr="00EB2C14">
              <w:rPr>
                <w:sz w:val="22"/>
                <w:szCs w:val="22"/>
                <w:lang w:val="fr-FR"/>
              </w:rPr>
              <w:t>22</w:t>
            </w:r>
            <w:r w:rsidR="002D32E3" w:rsidRPr="00EB2C14">
              <w:rPr>
                <w:sz w:val="22"/>
                <w:szCs w:val="22"/>
                <w:lang w:val="fr-FR"/>
              </w:rPr>
              <w:t xml:space="preserve"> </w:t>
            </w:r>
            <w:r w:rsidR="002221C9" w:rsidRPr="00EB2C14">
              <w:rPr>
                <w:sz w:val="22"/>
                <w:szCs w:val="22"/>
                <w:lang w:val="fr-FR"/>
              </w:rPr>
              <w:t xml:space="preserve">janvier </w:t>
            </w:r>
            <w:r w:rsidR="002D32E3" w:rsidRPr="00EB2C14">
              <w:rPr>
                <w:sz w:val="22"/>
                <w:szCs w:val="22"/>
                <w:lang w:val="fr-FR"/>
              </w:rPr>
              <w:t>2016</w:t>
            </w:r>
          </w:p>
          <w:p w:rsidR="002D32E3" w:rsidRPr="009116D8" w:rsidRDefault="002D32E3" w:rsidP="002D32E3">
            <w:pPr>
              <w:jc w:val="both"/>
              <w:rPr>
                <w:sz w:val="22"/>
                <w:szCs w:val="22"/>
                <w:lang w:val="fr-FR"/>
              </w:rPr>
            </w:pPr>
          </w:p>
          <w:p w:rsidR="002D32E3" w:rsidRPr="009116D8" w:rsidRDefault="002D32E3" w:rsidP="002D32E3">
            <w:pPr>
              <w:jc w:val="both"/>
              <w:rPr>
                <w:sz w:val="22"/>
                <w:szCs w:val="22"/>
                <w:lang w:val="fr-FR"/>
              </w:rPr>
            </w:pPr>
            <w:r w:rsidRPr="009116D8">
              <w:rPr>
                <w:sz w:val="22"/>
                <w:szCs w:val="22"/>
                <w:lang w:val="fr-FR"/>
              </w:rPr>
              <w:t>Français</w:t>
            </w:r>
          </w:p>
          <w:p w:rsidR="002D32E3" w:rsidRPr="009116D8" w:rsidRDefault="002D32E3" w:rsidP="002D32E3">
            <w:pPr>
              <w:jc w:val="both"/>
              <w:rPr>
                <w:sz w:val="22"/>
                <w:szCs w:val="22"/>
                <w:lang w:val="fr-FR"/>
              </w:rPr>
            </w:pPr>
            <w:r w:rsidRPr="009116D8">
              <w:rPr>
                <w:sz w:val="22"/>
                <w:szCs w:val="22"/>
                <w:lang w:val="fr-FR"/>
              </w:rPr>
              <w:t>Original: Anglais</w:t>
            </w:r>
          </w:p>
        </w:tc>
      </w:tr>
    </w:tbl>
    <w:p w:rsidR="002D32E3" w:rsidRPr="009116D8" w:rsidRDefault="002D32E3" w:rsidP="002D32E3">
      <w:pPr>
        <w:spacing w:line="228" w:lineRule="auto"/>
        <w:jc w:val="both"/>
        <w:rPr>
          <w:spacing w:val="-4"/>
          <w:sz w:val="22"/>
          <w:szCs w:val="22"/>
          <w:lang w:val="fr-FR"/>
        </w:rPr>
      </w:pPr>
      <w:r w:rsidRPr="009116D8">
        <w:rPr>
          <w:spacing w:val="-4"/>
          <w:sz w:val="22"/>
          <w:szCs w:val="22"/>
          <w:lang w:val="fr-FR"/>
        </w:rPr>
        <w:t xml:space="preserve">Deuxième Réunion des </w:t>
      </w:r>
      <w:r w:rsidRPr="009116D8">
        <w:rPr>
          <w:bCs/>
          <w:spacing w:val="-4"/>
          <w:sz w:val="22"/>
          <w:szCs w:val="22"/>
          <w:lang w:val="fr-FR"/>
        </w:rPr>
        <w:t>Signataires</w:t>
      </w:r>
    </w:p>
    <w:p w:rsidR="002D32E3" w:rsidRPr="009116D8" w:rsidRDefault="002D32E3" w:rsidP="002D32E3">
      <w:pPr>
        <w:spacing w:line="228" w:lineRule="auto"/>
        <w:jc w:val="both"/>
        <w:rPr>
          <w:iCs/>
          <w:sz w:val="22"/>
          <w:szCs w:val="22"/>
          <w:lang w:val="fr-FR"/>
        </w:rPr>
      </w:pPr>
      <w:r w:rsidRPr="009116D8">
        <w:rPr>
          <w:bCs/>
          <w:sz w:val="22"/>
          <w:szCs w:val="22"/>
          <w:lang w:val="fr-FR"/>
        </w:rPr>
        <w:t>San José, Costa Rica, 15-19 février 2016</w:t>
      </w:r>
    </w:p>
    <w:p w:rsidR="002D32E3" w:rsidRPr="009116D8" w:rsidRDefault="002D32E3" w:rsidP="002D32E3">
      <w:pPr>
        <w:jc w:val="both"/>
        <w:rPr>
          <w:sz w:val="22"/>
          <w:szCs w:val="22"/>
          <w:lang w:val="fr-FR"/>
        </w:rPr>
      </w:pPr>
      <w:r w:rsidRPr="009116D8">
        <w:rPr>
          <w:bCs/>
          <w:sz w:val="22"/>
          <w:szCs w:val="22"/>
          <w:lang w:val="fr-FR"/>
        </w:rPr>
        <w:t xml:space="preserve">Point </w:t>
      </w:r>
      <w:r w:rsidRPr="009116D8">
        <w:rPr>
          <w:sz w:val="22"/>
          <w:szCs w:val="22"/>
          <w:lang w:val="fr-FR"/>
        </w:rPr>
        <w:t xml:space="preserve">10 </w:t>
      </w:r>
      <w:r w:rsidRPr="009116D8">
        <w:rPr>
          <w:bCs/>
          <w:sz w:val="22"/>
          <w:szCs w:val="22"/>
          <w:lang w:val="fr-FR"/>
        </w:rPr>
        <w:t>de l</w:t>
      </w:r>
      <w:r w:rsidR="009116D8">
        <w:rPr>
          <w:bCs/>
          <w:sz w:val="22"/>
          <w:szCs w:val="22"/>
          <w:lang w:val="fr-FR"/>
        </w:rPr>
        <w:t>’</w:t>
      </w:r>
      <w:r w:rsidRPr="009116D8">
        <w:rPr>
          <w:bCs/>
          <w:sz w:val="22"/>
          <w:szCs w:val="22"/>
          <w:lang w:val="fr-FR"/>
        </w:rPr>
        <w:t>ordre du jour</w:t>
      </w:r>
    </w:p>
    <w:p w:rsidR="00DF2E68" w:rsidRPr="009116D8" w:rsidRDefault="00DF2E68" w:rsidP="00804AA2">
      <w:pPr>
        <w:jc w:val="both"/>
        <w:rPr>
          <w:sz w:val="22"/>
          <w:szCs w:val="22"/>
          <w:lang w:val="fr-FR"/>
        </w:rPr>
      </w:pPr>
    </w:p>
    <w:p w:rsidR="00DF2E68" w:rsidRPr="009116D8" w:rsidRDefault="00DF2E68" w:rsidP="00804AA2">
      <w:pPr>
        <w:jc w:val="both"/>
        <w:rPr>
          <w:sz w:val="22"/>
          <w:szCs w:val="22"/>
          <w:lang w:val="fr-FR"/>
        </w:rPr>
      </w:pPr>
    </w:p>
    <w:p w:rsidR="00DF2E68" w:rsidRPr="009116D8" w:rsidRDefault="00DF2E68" w:rsidP="00804AA2">
      <w:pPr>
        <w:jc w:val="both"/>
        <w:rPr>
          <w:sz w:val="22"/>
          <w:szCs w:val="22"/>
          <w:lang w:val="fr-FR"/>
        </w:rPr>
      </w:pPr>
    </w:p>
    <w:p w:rsidR="00500A7E" w:rsidRPr="009116D8" w:rsidRDefault="00500A7E" w:rsidP="00F14715">
      <w:pPr>
        <w:jc w:val="center"/>
        <w:rPr>
          <w:b/>
          <w:bCs/>
          <w:sz w:val="24"/>
          <w:lang w:val="fr-FR"/>
        </w:rPr>
      </w:pPr>
      <w:r w:rsidRPr="009116D8">
        <w:rPr>
          <w:b/>
          <w:bCs/>
          <w:sz w:val="24"/>
          <w:lang w:val="fr-FR"/>
        </w:rPr>
        <w:t xml:space="preserve">PROJET DE BUDGET </w:t>
      </w:r>
      <w:r w:rsidR="00117C6E" w:rsidRPr="009116D8">
        <w:rPr>
          <w:b/>
          <w:bCs/>
          <w:sz w:val="24"/>
          <w:lang w:val="fr-FR"/>
        </w:rPr>
        <w:t>DU</w:t>
      </w:r>
      <w:r w:rsidRPr="009116D8">
        <w:rPr>
          <w:b/>
          <w:bCs/>
          <w:sz w:val="24"/>
          <w:lang w:val="fr-FR"/>
        </w:rPr>
        <w:t xml:space="preserve"> SECRÉTARIAT </w:t>
      </w:r>
      <w:r w:rsidR="00C448AF" w:rsidRPr="009116D8">
        <w:rPr>
          <w:b/>
          <w:bCs/>
          <w:sz w:val="24"/>
          <w:lang w:val="fr-FR"/>
        </w:rPr>
        <w:t>DU MDE REQUINS</w:t>
      </w:r>
    </w:p>
    <w:p w:rsidR="00F14715" w:rsidRPr="009116D8" w:rsidRDefault="00F14715" w:rsidP="00F14715">
      <w:pPr>
        <w:jc w:val="center"/>
        <w:rPr>
          <w:bCs/>
          <w:sz w:val="16"/>
          <w:szCs w:val="16"/>
          <w:lang w:val="fr-FR"/>
        </w:rPr>
      </w:pPr>
    </w:p>
    <w:p w:rsidR="00F14715" w:rsidRPr="009116D8" w:rsidRDefault="00500A7E" w:rsidP="00500A7E">
      <w:pPr>
        <w:jc w:val="center"/>
        <w:rPr>
          <w:bCs/>
          <w:i/>
          <w:sz w:val="24"/>
          <w:lang w:val="fr-FR"/>
        </w:rPr>
      </w:pPr>
      <w:r w:rsidRPr="009116D8">
        <w:rPr>
          <w:bCs/>
          <w:i/>
          <w:sz w:val="24"/>
          <w:lang w:val="fr-FR"/>
        </w:rPr>
        <w:t xml:space="preserve">(Préparé par le Secrétariat) </w:t>
      </w:r>
    </w:p>
    <w:p w:rsidR="00F14715" w:rsidRPr="009116D8" w:rsidRDefault="00F14715" w:rsidP="00F14715">
      <w:pPr>
        <w:jc w:val="both"/>
        <w:rPr>
          <w:bCs/>
          <w:sz w:val="16"/>
          <w:szCs w:val="16"/>
          <w:lang w:val="fr-FR"/>
        </w:rPr>
      </w:pPr>
    </w:p>
    <w:p w:rsidR="00F14715" w:rsidRPr="009116D8" w:rsidRDefault="00F14715" w:rsidP="00F14715">
      <w:pPr>
        <w:jc w:val="both"/>
        <w:rPr>
          <w:bCs/>
          <w:sz w:val="16"/>
          <w:szCs w:val="16"/>
          <w:lang w:val="fr-FR"/>
        </w:rPr>
      </w:pPr>
    </w:p>
    <w:p w:rsidR="00500A7E" w:rsidRPr="009116D8" w:rsidRDefault="006062DB" w:rsidP="00F14715">
      <w:pPr>
        <w:jc w:val="both"/>
        <w:rPr>
          <w:b/>
          <w:bCs/>
          <w:sz w:val="24"/>
          <w:lang w:val="fr-FR"/>
        </w:rPr>
      </w:pPr>
      <w:r w:rsidRPr="009116D8">
        <w:rPr>
          <w:b/>
          <w:bCs/>
          <w:sz w:val="24"/>
          <w:lang w:val="fr-FR"/>
        </w:rPr>
        <w:t>Contexte</w:t>
      </w:r>
    </w:p>
    <w:p w:rsidR="00F14715" w:rsidRPr="009116D8" w:rsidRDefault="00F14715" w:rsidP="00F14715">
      <w:pPr>
        <w:pStyle w:val="BodyText2"/>
        <w:jc w:val="both"/>
        <w:rPr>
          <w:sz w:val="24"/>
          <w:lang w:val="fr-FR"/>
        </w:rPr>
      </w:pPr>
    </w:p>
    <w:p w:rsidR="00500A7E" w:rsidRPr="009116D8" w:rsidRDefault="007D5C71" w:rsidP="00100C77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pacing w:val="-2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Pour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soutenir la mise e</w:t>
      </w:r>
      <w:r w:rsidR="006062DB" w:rsidRPr="009116D8">
        <w:rPr>
          <w:rFonts w:ascii="Times New Roman" w:hAnsi="Times New Roman" w:cs="Times New Roman"/>
          <w:sz w:val="24"/>
          <w:szCs w:val="24"/>
          <w:lang w:val="fr-FR"/>
        </w:rPr>
        <w:t>n œuvre du Programme de travail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décrit dans</w:t>
      </w:r>
      <w:r w:rsidR="006062D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document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CMS/</w:t>
      </w:r>
      <w:proofErr w:type="spellStart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Sharks</w:t>
      </w:r>
      <w:proofErr w:type="spellEnd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/MOS2/Doc.9.1, et couvrir les coûts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 Secrétariat pleinement opérationnel, le financement durable est une exigence fondamentale. Le présent document contient une proposition </w:t>
      </w:r>
      <w:r w:rsidR="00117C6E" w:rsidRPr="009116D8">
        <w:rPr>
          <w:rFonts w:ascii="Times New Roman" w:hAnsi="Times New Roman" w:cs="Times New Roman"/>
          <w:sz w:val="24"/>
          <w:szCs w:val="24"/>
          <w:lang w:val="fr-FR"/>
        </w:rPr>
        <w:t>relative aux ressources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du Secrétariat intérimaire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conformément à</w:t>
      </w:r>
      <w:r w:rsidR="00117C6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la section 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8 du </w:t>
      </w:r>
      <w:proofErr w:type="spellStart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Deux scénarios budgétaires, visant à fournir des ressources adéquates et prévisibles </w:t>
      </w:r>
      <w:r w:rsidR="006062DB" w:rsidRPr="009116D8">
        <w:rPr>
          <w:rFonts w:ascii="Times New Roman" w:hAnsi="Times New Roman" w:cs="Times New Roman"/>
          <w:sz w:val="24"/>
          <w:szCs w:val="24"/>
          <w:lang w:val="fr-FR"/>
        </w:rPr>
        <w:t>au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="00117C6E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sont présentés dans les annexes 1 à 3 ci-</w:t>
      </w:r>
      <w:r w:rsidR="006062DB" w:rsidRPr="009116D8">
        <w:rPr>
          <w:rFonts w:ascii="Times New Roman" w:hAnsi="Times New Roman" w:cs="Times New Roman"/>
          <w:sz w:val="24"/>
          <w:szCs w:val="24"/>
          <w:lang w:val="fr-FR"/>
        </w:rPr>
        <w:t>après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,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annexe 1 fournissant une comparaison des deux scénarios.</w:t>
      </w:r>
    </w:p>
    <w:p w:rsidR="00F61182" w:rsidRPr="009116D8" w:rsidRDefault="00F61182" w:rsidP="00F10870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21572" w:rsidRPr="009116D8" w:rsidRDefault="00521572" w:rsidP="00F10870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500A7E" w:rsidRPr="009116D8" w:rsidRDefault="006062DB" w:rsidP="00F10870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9116D8">
        <w:rPr>
          <w:rFonts w:ascii="Times New Roman" w:hAnsi="Times New Roman"/>
          <w:b/>
          <w:sz w:val="24"/>
          <w:szCs w:val="24"/>
          <w:lang w:val="fr-FR"/>
        </w:rPr>
        <w:t>Financement actuel</w:t>
      </w:r>
    </w:p>
    <w:p w:rsidR="00596E71" w:rsidRPr="009116D8" w:rsidRDefault="00596E71" w:rsidP="00F10870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6062DB" w:rsidP="00500A7E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MOS1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convenu que, compte tenu de la nature non contraignante du </w:t>
      </w:r>
      <w:proofErr w:type="spellStart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, les contributions budgétaires seraient volontaire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s,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a rejeté une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proposition de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répa</w:t>
      </w:r>
      <w:r w:rsidR="007D5C71" w:rsidRPr="009116D8">
        <w:rPr>
          <w:rFonts w:ascii="Times New Roman" w:hAnsi="Times New Roman" w:cs="Times New Roman"/>
          <w:sz w:val="24"/>
          <w:szCs w:val="24"/>
          <w:lang w:val="fr-FR"/>
        </w:rPr>
        <w:t>rtition des contributions basée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D5C71" w:rsidRPr="009116D8">
        <w:rPr>
          <w:rFonts w:ascii="Times New Roman" w:hAnsi="Times New Roman" w:cs="Times New Roman"/>
          <w:sz w:val="24"/>
          <w:szCs w:val="24"/>
          <w:lang w:val="fr-FR"/>
        </w:rPr>
        <w:t>sur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barème des Nations Unies. Toutefois, les contributions volontaires reçues des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Signataires au cours de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période triennale précédente (2013-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20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15) étaient significativement plus bas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ses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que le budget approuvé, comme indiqué dans 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document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CMS/</w:t>
      </w:r>
      <w:proofErr w:type="spellStart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Sharks</w:t>
      </w:r>
      <w:proofErr w:type="spellEnd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/MOS2/Doc.10.2.</w:t>
      </w:r>
    </w:p>
    <w:p w:rsidR="002B6916" w:rsidRPr="009116D8" w:rsidRDefault="002B6916" w:rsidP="002B6916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B32210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En raison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insécurité 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financière qui en résulte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le poste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P3 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administrateur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programme et 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le poste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G5 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assistant à temps partiel (50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 %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), approuvé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MOS1, n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ont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F2F57" w:rsidRPr="009116D8">
        <w:rPr>
          <w:rFonts w:ascii="Times New Roman" w:hAnsi="Times New Roman" w:cs="Times New Roman"/>
          <w:sz w:val="24"/>
          <w:szCs w:val="24"/>
          <w:lang w:val="fr-FR"/>
        </w:rPr>
        <w:t>pas pu être pourvus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Par conséquent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le Secrétariat a continué à compter sur un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poste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administrateur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P2 pour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assurer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les fonctions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quotidienne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du Secrétariat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ce poste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 été financé par le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Gouvernement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allemand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2013 et 2014. Des consultants ont été embauchés temporairement pour appuyer le Secrétariat lors des pics de charge de travail comme lors de la préparation de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580BB1" w:rsidRPr="009116D8">
        <w:rPr>
          <w:rFonts w:ascii="Times New Roman" w:hAnsi="Times New Roman" w:cs="Times New Roman"/>
          <w:sz w:val="24"/>
          <w:szCs w:val="24"/>
          <w:lang w:val="fr-FR"/>
        </w:rPr>
        <w:t>MOS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2.</w:t>
      </w:r>
    </w:p>
    <w:p w:rsidR="00F67806" w:rsidRPr="009116D8" w:rsidRDefault="00F67806" w:rsidP="00F67806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3A535C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En outre, le Secrétariat intérimaire a bénéficié de la direction et 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soutien fournis par le personnel du Secrétariat de la CMS.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temps </w:t>
      </w:r>
      <w:r w:rsidR="00DA45A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travail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du Secrétaire exécutif,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Secrétaire exécutif adjoint,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de la Responsable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équipe sur les espèces aquatiques (au-delà des 10 %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indiqué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dans le budget), et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Unité de </w:t>
      </w:r>
      <w:r w:rsidR="002A2E7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gestion administrative et financière 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 été </w:t>
      </w:r>
      <w:r w:rsidR="00DA45A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fourni 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>en tant que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>contribution en nature</w:t>
      </w:r>
      <w:r w:rsidR="00DA45A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issue du budget principal de la CMS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F59E3" w:rsidRPr="009116D8" w:rsidRDefault="009F59E3" w:rsidP="003A535C">
      <w:pPr>
        <w:pStyle w:val="NoSpacing"/>
        <w:jc w:val="both"/>
        <w:rPr>
          <w:rStyle w:val="CommentReference"/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597FFD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lastRenderedPageBreak/>
        <w:t>En outre, le caractère imprévisible d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financement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obligé le Secrétariat à </w:t>
      </w:r>
      <w:r w:rsidR="00580BB1" w:rsidRPr="009116D8">
        <w:rPr>
          <w:rFonts w:ascii="Times New Roman" w:hAnsi="Times New Roman" w:cs="Times New Roman"/>
          <w:sz w:val="24"/>
          <w:szCs w:val="24"/>
          <w:lang w:val="fr-FR"/>
        </w:rPr>
        <w:t>adopter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une approche restrictive </w:t>
      </w:r>
      <w:r w:rsidR="00DA45A6" w:rsidRPr="009116D8">
        <w:rPr>
          <w:rFonts w:ascii="Times New Roman" w:hAnsi="Times New Roman" w:cs="Times New Roman"/>
          <w:sz w:val="24"/>
          <w:szCs w:val="24"/>
          <w:lang w:val="fr-FR"/>
        </w:rPr>
        <w:t>vis-à-vis des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dépenses </w:t>
      </w:r>
      <w:r w:rsidR="00DA45A6" w:rsidRPr="009116D8">
        <w:rPr>
          <w:rFonts w:ascii="Times New Roman" w:hAnsi="Times New Roman" w:cs="Times New Roman"/>
          <w:sz w:val="24"/>
          <w:szCs w:val="24"/>
          <w:lang w:val="fr-FR"/>
        </w:rPr>
        <w:t>relatives aux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activités, ce qui a rendu </w:t>
      </w:r>
      <w:r w:rsidR="00580BB1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difficile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planification à long terme et a entraîné </w:t>
      </w:r>
      <w:r w:rsidR="00DA45A6" w:rsidRPr="009116D8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développement 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>ponctuel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activités au fur et à 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mesure de la mise à disposition de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financement</w:t>
      </w:r>
      <w:r w:rsidR="00067DFF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les donateurs.</w:t>
      </w:r>
    </w:p>
    <w:p w:rsidR="001B7BFB" w:rsidRPr="009116D8" w:rsidRDefault="001B7BFB" w:rsidP="001B7BFB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067DFF" w:rsidP="00597FFD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La recherche de financements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le Secrétariat a même été nécessaire pour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es activités </w:t>
      </w:r>
      <w:r w:rsidR="00580BB1" w:rsidRPr="009116D8">
        <w:rPr>
          <w:rFonts w:ascii="Times New Roman" w:hAnsi="Times New Roman" w:cs="Times New Roman"/>
          <w:sz w:val="24"/>
          <w:szCs w:val="24"/>
          <w:lang w:val="fr-FR"/>
        </w:rPr>
        <w:t>principales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, telles que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organisation de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AC1 et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la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MOS2 ainsi que pour une étude clé sur les priorités de conservation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es espèces inscrites à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annexe 1. Ces activités de collecte de fonds ont été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menées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Administrateur de la CMS chargé de la recherche de financement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par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Unité de gestion administrative et financière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La préparation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demandes de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financement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la réponse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aux exigences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en matière de rapport qui en découle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ont encore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augment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charge de travail du Secrétariat.</w:t>
      </w:r>
    </w:p>
    <w:p w:rsidR="003A535C" w:rsidRPr="009116D8" w:rsidRDefault="003A535C" w:rsidP="003F612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93674B" w:rsidP="003A535C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solde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250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000 € (+/- 50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000 €), </w:t>
      </w:r>
      <w:r w:rsidR="00580BB1" w:rsidRPr="009116D8">
        <w:rPr>
          <w:rFonts w:ascii="Times New Roman" w:hAnsi="Times New Roman" w:cs="Times New Roman"/>
          <w:sz w:val="24"/>
          <w:szCs w:val="24"/>
          <w:lang w:val="fr-FR"/>
        </w:rPr>
        <w:t>incluant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une réserve de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15 %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(voir paragraphe</w:t>
      </w:r>
      <w:r w:rsidR="00580BB1" w:rsidRPr="009116D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36),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devrait être disponible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la fin de 2015.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dépenses estimées pour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MOS2 et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AC1, qui ser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ont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payé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 2016,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sont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déjà inclus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dans ces chiffres</w:t>
      </w:r>
      <w:r w:rsidR="00833191" w:rsidRPr="009116D8">
        <w:rPr>
          <w:rStyle w:val="FootnoteReference"/>
          <w:rFonts w:ascii="Times New Roman" w:hAnsi="Times New Roman"/>
          <w:sz w:val="24"/>
          <w:szCs w:val="24"/>
          <w:vertAlign w:val="superscript"/>
          <w:lang w:val="fr-FR"/>
        </w:rPr>
        <w:footnoteReference w:id="1"/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33191" w:rsidRPr="009116D8">
        <w:rPr>
          <w:rFonts w:ascii="Times New Roman" w:hAnsi="Times New Roman" w:cs="Times New Roman"/>
          <w:sz w:val="24"/>
          <w:szCs w:val="24"/>
          <w:lang w:val="fr-FR"/>
        </w:rPr>
        <w:t>Ce solde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fournit au Secrétariat une certaine sécurité pour l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prochain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 période triennale vis-à-vis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potentiel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déficit de contributions volontaires pour payer pour les activités prévues.</w:t>
      </w:r>
    </w:p>
    <w:p w:rsidR="00596E71" w:rsidRPr="009116D8" w:rsidRDefault="00596E71" w:rsidP="00596E71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21572" w:rsidRPr="009116D8" w:rsidRDefault="00521572" w:rsidP="00596E71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500A7E" w:rsidRPr="009116D8" w:rsidRDefault="00500A7E" w:rsidP="00596E71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9116D8">
        <w:rPr>
          <w:rFonts w:ascii="Times New Roman" w:hAnsi="Times New Roman"/>
          <w:b/>
          <w:sz w:val="24"/>
          <w:szCs w:val="24"/>
          <w:lang w:val="fr-FR"/>
        </w:rPr>
        <w:t>Scénarios budgétaires prop</w:t>
      </w:r>
      <w:r w:rsidR="0093674B" w:rsidRPr="009116D8">
        <w:rPr>
          <w:rFonts w:ascii="Times New Roman" w:hAnsi="Times New Roman"/>
          <w:b/>
          <w:sz w:val="24"/>
          <w:szCs w:val="24"/>
          <w:lang w:val="fr-FR"/>
        </w:rPr>
        <w:t>osés</w:t>
      </w:r>
    </w:p>
    <w:p w:rsidR="00521572" w:rsidRPr="009116D8" w:rsidRDefault="00521572" w:rsidP="00596E71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D02EED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Pour la période triennale 2016-2018, le Secrétariat a élaboré deux scénarios </w:t>
      </w:r>
      <w:r w:rsidR="002221C9" w:rsidRPr="009116D8"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221C9" w:rsidRPr="009116D8">
        <w:rPr>
          <w:rFonts w:ascii="Times New Roman" w:hAnsi="Times New Roman" w:cs="Times New Roman"/>
          <w:sz w:val="24"/>
          <w:szCs w:val="24"/>
          <w:lang w:val="fr-FR"/>
        </w:rPr>
        <w:t>il soumet à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221C9" w:rsidRPr="009116D8">
        <w:rPr>
          <w:rFonts w:ascii="Times New Roman" w:hAnsi="Times New Roman" w:cs="Times New Roman"/>
          <w:sz w:val="24"/>
          <w:szCs w:val="24"/>
          <w:lang w:val="fr-FR"/>
        </w:rPr>
        <w:t>examen d</w:t>
      </w:r>
      <w:r w:rsidR="0093674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es Signataires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dans le contexte de leur</w:t>
      </w:r>
      <w:r w:rsidR="004143E2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capacité</w:t>
      </w:r>
      <w:r w:rsidR="004143E2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à fournir des ressources au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spéciale, et en tenant compte de leurs décisions relatives au </w:t>
      </w:r>
      <w:r w:rsidR="0093674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Programme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travail proposé.</w:t>
      </w:r>
    </w:p>
    <w:p w:rsidR="004D2C9D" w:rsidRPr="009116D8" w:rsidRDefault="004D2C9D" w:rsidP="004D2C9D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500A7E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Les deux scénarios sont basés sur l</w:t>
      </w:r>
      <w:r w:rsidR="0093674B" w:rsidRPr="009116D8">
        <w:rPr>
          <w:rFonts w:ascii="Times New Roman" w:hAnsi="Times New Roman" w:cs="Times New Roman"/>
          <w:sz w:val="24"/>
          <w:szCs w:val="24"/>
          <w:lang w:val="fr-FR"/>
        </w:rPr>
        <w:t>a poursuite du fonctionnement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du Secrétariat intérim</w:t>
      </w:r>
      <w:r w:rsidR="0093674B" w:rsidRPr="009116D8">
        <w:rPr>
          <w:rFonts w:ascii="Times New Roman" w:hAnsi="Times New Roman" w:cs="Times New Roman"/>
          <w:sz w:val="24"/>
          <w:szCs w:val="24"/>
          <w:lang w:val="fr-FR"/>
        </w:rPr>
        <w:t>aire au siège de la CMS à Bonn (Allemagne)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DA45A6" w:rsidRPr="009116D8">
        <w:rPr>
          <w:rFonts w:ascii="Times New Roman" w:hAnsi="Times New Roman" w:cs="Times New Roman"/>
          <w:sz w:val="24"/>
          <w:szCs w:val="24"/>
          <w:lang w:val="fr-FR"/>
        </w:rPr>
        <w:t>ce qui permettrait ainsi de fournir un cadre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gestion et </w:t>
      </w:r>
      <w:r w:rsidR="0093674B" w:rsidRPr="009116D8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soutien administratif.</w:t>
      </w:r>
    </w:p>
    <w:p w:rsidR="00760235" w:rsidRPr="009116D8" w:rsidRDefault="00760235" w:rsidP="00760235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500A7E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En comparaison avec le budget </w:t>
      </w:r>
      <w:r w:rsidR="0093674B"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dernière période triennale, les frais de personnel sont en baisse, en raison </w:t>
      </w:r>
      <w:r w:rsidR="0093674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du développement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un nouveau barème des coûts standard, reflétant mieux les coûts actuels pour le personnel basé à Bonn.</w:t>
      </w:r>
    </w:p>
    <w:p w:rsidR="00E9124B" w:rsidRPr="009116D8" w:rsidRDefault="00E9124B" w:rsidP="00100C77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21572" w:rsidRPr="009116D8" w:rsidRDefault="00521572" w:rsidP="00100C77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500A7E" w:rsidRPr="009116D8" w:rsidRDefault="00500A7E" w:rsidP="00100C77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9116D8">
        <w:rPr>
          <w:rFonts w:ascii="Times New Roman" w:hAnsi="Times New Roman"/>
          <w:b/>
          <w:sz w:val="24"/>
          <w:szCs w:val="24"/>
          <w:lang w:val="fr-FR"/>
        </w:rPr>
        <w:t>Scénarios budgétaires</w:t>
      </w:r>
    </w:p>
    <w:p w:rsidR="00100C77" w:rsidRPr="009116D8" w:rsidRDefault="00100C77" w:rsidP="00100C77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</w:p>
    <w:p w:rsidR="00500A7E" w:rsidRPr="009116D8" w:rsidRDefault="00500A7E" w:rsidP="00100C77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 w:rsidRPr="009116D8">
        <w:rPr>
          <w:rFonts w:ascii="Times New Roman" w:hAnsi="Times New Roman"/>
          <w:sz w:val="24"/>
          <w:szCs w:val="24"/>
          <w:u w:val="single"/>
          <w:lang w:val="fr-FR"/>
        </w:rPr>
        <w:t>Vue d</w:t>
      </w:r>
      <w:r w:rsidR="009116D8">
        <w:rPr>
          <w:rFonts w:ascii="Times New Roman" w:hAnsi="Times New Roman"/>
          <w:sz w:val="24"/>
          <w:szCs w:val="24"/>
          <w:u w:val="single"/>
          <w:lang w:val="fr-FR"/>
        </w:rPr>
        <w:t>’</w:t>
      </w:r>
      <w:r w:rsidRPr="009116D8">
        <w:rPr>
          <w:rFonts w:ascii="Times New Roman" w:hAnsi="Times New Roman"/>
          <w:sz w:val="24"/>
          <w:szCs w:val="24"/>
          <w:u w:val="single"/>
          <w:lang w:val="fr-FR"/>
        </w:rPr>
        <w:t>ensemble</w:t>
      </w:r>
    </w:p>
    <w:p w:rsidR="00B25402" w:rsidRPr="009116D8" w:rsidRDefault="00B25402" w:rsidP="00B2540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93674B" w:rsidP="003F6123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 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cénario 1 comprend une augmentati</w:t>
      </w:r>
      <w:r w:rsidR="001D014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on de 9 %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par rapport au budget approuvé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pour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période triennale</w:t>
      </w:r>
      <w:r w:rsidR="001D014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précédente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. Il couvrir</w:t>
      </w:r>
      <w:r w:rsidR="001D014A" w:rsidRPr="009116D8">
        <w:rPr>
          <w:rFonts w:ascii="Times New Roman" w:hAnsi="Times New Roman" w:cs="Times New Roman"/>
          <w:sz w:val="24"/>
          <w:szCs w:val="24"/>
          <w:lang w:val="fr-FR"/>
        </w:rPr>
        <w:t>ait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les coûts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un Secrétariat pleinement fonctionnel et la mise en œuvre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activités importantes comme indiqué dans le </w:t>
      </w:r>
      <w:r w:rsidR="001D014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Programme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travail. Il </w:t>
      </w:r>
      <w:r w:rsidR="008D4521" w:rsidRPr="009116D8">
        <w:rPr>
          <w:rFonts w:ascii="Times New Roman" w:hAnsi="Times New Roman" w:cs="Times New Roman"/>
          <w:sz w:val="24"/>
          <w:szCs w:val="24"/>
          <w:lang w:val="fr-FR"/>
        </w:rPr>
        <w:t>comprend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totalité des coûts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deux réunions du Comité consultatif (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 – </w:t>
      </w:r>
      <w:proofErr w:type="spellStart"/>
      <w:r w:rsidR="00E2352B" w:rsidRPr="009116D8">
        <w:rPr>
          <w:rFonts w:ascii="Times New Roman" w:hAnsi="Times New Roman" w:cs="Times New Roman"/>
          <w:i/>
          <w:sz w:val="24"/>
          <w:szCs w:val="24"/>
          <w:lang w:val="fr-FR"/>
        </w:rPr>
        <w:t>Advisory</w:t>
      </w:r>
      <w:proofErr w:type="spellEnd"/>
      <w:r w:rsidR="00E2352B" w:rsidRPr="009116D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E2352B" w:rsidRPr="009116D8">
        <w:rPr>
          <w:rFonts w:ascii="Times New Roman" w:hAnsi="Times New Roman" w:cs="Times New Roman"/>
          <w:i/>
          <w:sz w:val="24"/>
          <w:szCs w:val="24"/>
          <w:lang w:val="fr-FR"/>
        </w:rPr>
        <w:t>Committee</w:t>
      </w:r>
      <w:proofErr w:type="spellEnd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) et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1D014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MOS3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ainsi que le financement initial de deux réunions d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groupe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travail.</w:t>
      </w:r>
    </w:p>
    <w:p w:rsidR="00F445D9" w:rsidRPr="009116D8" w:rsidRDefault="00F445D9">
      <w:pPr>
        <w:widowControl/>
        <w:autoSpaceDE/>
        <w:autoSpaceDN/>
        <w:adjustRightInd/>
        <w:rPr>
          <w:rFonts w:cs="Calibri"/>
          <w:b/>
          <w:lang w:val="fr-FR"/>
        </w:rPr>
      </w:pPr>
      <w:r w:rsidRPr="009116D8">
        <w:rPr>
          <w:b/>
          <w:lang w:val="fr-FR"/>
        </w:rPr>
        <w:br w:type="page"/>
      </w:r>
    </w:p>
    <w:p w:rsidR="00500A7E" w:rsidRPr="009116D8" w:rsidRDefault="00500A7E" w:rsidP="00773759">
      <w:pPr>
        <w:pStyle w:val="NoSpacing"/>
        <w:jc w:val="both"/>
        <w:rPr>
          <w:rFonts w:ascii="Times New Roman" w:hAnsi="Times New Roman"/>
          <w:b/>
          <w:sz w:val="20"/>
          <w:szCs w:val="24"/>
          <w:lang w:val="fr-FR"/>
        </w:rPr>
      </w:pPr>
      <w:r w:rsidRPr="009116D8">
        <w:rPr>
          <w:rFonts w:ascii="Times New Roman" w:hAnsi="Times New Roman"/>
          <w:b/>
          <w:sz w:val="20"/>
          <w:szCs w:val="24"/>
          <w:lang w:val="fr-FR"/>
        </w:rPr>
        <w:lastRenderedPageBreak/>
        <w:t>Tableau 1</w:t>
      </w:r>
      <w:r w:rsidR="001D014A" w:rsidRPr="009116D8">
        <w:rPr>
          <w:rFonts w:ascii="Times New Roman" w:hAnsi="Times New Roman"/>
          <w:b/>
          <w:sz w:val="20"/>
          <w:szCs w:val="24"/>
          <w:lang w:val="fr-FR"/>
        </w:rPr>
        <w:t> </w:t>
      </w:r>
      <w:r w:rsidRPr="009116D8">
        <w:rPr>
          <w:rFonts w:ascii="Times New Roman" w:hAnsi="Times New Roman"/>
          <w:b/>
          <w:sz w:val="20"/>
          <w:szCs w:val="24"/>
          <w:lang w:val="fr-FR"/>
        </w:rPr>
        <w:t>: Vue d</w:t>
      </w:r>
      <w:r w:rsidR="009116D8">
        <w:rPr>
          <w:rFonts w:ascii="Times New Roman" w:hAnsi="Times New Roman"/>
          <w:b/>
          <w:sz w:val="20"/>
          <w:szCs w:val="24"/>
          <w:lang w:val="fr-FR"/>
        </w:rPr>
        <w:t>’</w:t>
      </w:r>
      <w:r w:rsidRPr="009116D8">
        <w:rPr>
          <w:rFonts w:ascii="Times New Roman" w:hAnsi="Times New Roman"/>
          <w:b/>
          <w:sz w:val="20"/>
          <w:szCs w:val="24"/>
          <w:lang w:val="fr-FR"/>
        </w:rPr>
        <w:t xml:space="preserve">ensemble </w:t>
      </w:r>
      <w:r w:rsidR="001D014A" w:rsidRPr="009116D8">
        <w:rPr>
          <w:rFonts w:ascii="Times New Roman" w:hAnsi="Times New Roman"/>
          <w:b/>
          <w:sz w:val="20"/>
          <w:szCs w:val="24"/>
          <w:lang w:val="fr-FR"/>
        </w:rPr>
        <w:t xml:space="preserve">du </w:t>
      </w:r>
      <w:r w:rsidRPr="009116D8">
        <w:rPr>
          <w:rFonts w:ascii="Times New Roman" w:hAnsi="Times New Roman"/>
          <w:b/>
          <w:sz w:val="20"/>
          <w:szCs w:val="24"/>
          <w:lang w:val="fr-FR"/>
        </w:rPr>
        <w:t>scénario budgétaire 1 (</w:t>
      </w:r>
      <w:r w:rsidR="008D4521" w:rsidRPr="009116D8">
        <w:rPr>
          <w:rFonts w:ascii="Times New Roman" w:hAnsi="Times New Roman"/>
          <w:b/>
          <w:i/>
          <w:sz w:val="20"/>
          <w:szCs w:val="24"/>
          <w:lang w:val="fr-FR"/>
        </w:rPr>
        <w:t>en EUR</w:t>
      </w:r>
      <w:r w:rsidRPr="009116D8">
        <w:rPr>
          <w:rFonts w:ascii="Times New Roman" w:hAnsi="Times New Roman"/>
          <w:b/>
          <w:sz w:val="20"/>
          <w:szCs w:val="24"/>
          <w:lang w:val="fr-FR"/>
        </w:rPr>
        <w:t>)</w:t>
      </w:r>
    </w:p>
    <w:p w:rsidR="00A6452B" w:rsidRPr="009116D8" w:rsidRDefault="00A6452B" w:rsidP="00773759">
      <w:pPr>
        <w:pStyle w:val="NoSpacing"/>
        <w:jc w:val="both"/>
        <w:rPr>
          <w:rFonts w:ascii="Times New Roman" w:hAnsi="Times New Roman"/>
          <w:b/>
          <w:i/>
          <w:sz w:val="20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5"/>
        <w:gridCol w:w="810"/>
        <w:gridCol w:w="810"/>
        <w:gridCol w:w="810"/>
        <w:gridCol w:w="948"/>
      </w:tblGrid>
      <w:tr w:rsidR="008D4521" w:rsidRPr="009116D8" w:rsidTr="001D014A">
        <w:tc>
          <w:tcPr>
            <w:tcW w:w="6481" w:type="dxa"/>
          </w:tcPr>
          <w:p w:rsidR="008D4521" w:rsidRPr="009116D8" w:rsidRDefault="008D4521" w:rsidP="00773759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8D4521" w:rsidRPr="009116D8" w:rsidRDefault="008D4521">
            <w:pPr>
              <w:jc w:val="center"/>
              <w:rPr>
                <w:b/>
                <w:bCs/>
                <w:sz w:val="18"/>
                <w:szCs w:val="22"/>
                <w:lang w:val="fr-FR"/>
              </w:rPr>
            </w:pPr>
            <w:r w:rsidRPr="009116D8">
              <w:rPr>
                <w:b/>
                <w:bCs/>
                <w:sz w:val="18"/>
                <w:szCs w:val="22"/>
                <w:lang w:val="fr-FR"/>
              </w:rPr>
              <w:t>2016</w:t>
            </w:r>
          </w:p>
        </w:tc>
        <w:tc>
          <w:tcPr>
            <w:tcW w:w="709" w:type="dxa"/>
          </w:tcPr>
          <w:p w:rsidR="008D4521" w:rsidRPr="009116D8" w:rsidRDefault="008D4521">
            <w:pPr>
              <w:jc w:val="center"/>
              <w:rPr>
                <w:b/>
                <w:bCs/>
                <w:sz w:val="18"/>
                <w:szCs w:val="22"/>
                <w:lang w:val="fr-FR"/>
              </w:rPr>
            </w:pPr>
            <w:r w:rsidRPr="009116D8">
              <w:rPr>
                <w:b/>
                <w:bCs/>
                <w:sz w:val="18"/>
                <w:szCs w:val="22"/>
                <w:lang w:val="fr-FR"/>
              </w:rPr>
              <w:t>2017</w:t>
            </w:r>
          </w:p>
        </w:tc>
        <w:tc>
          <w:tcPr>
            <w:tcW w:w="708" w:type="dxa"/>
          </w:tcPr>
          <w:p w:rsidR="008D4521" w:rsidRPr="009116D8" w:rsidRDefault="008D4521">
            <w:pPr>
              <w:jc w:val="center"/>
              <w:rPr>
                <w:b/>
                <w:bCs/>
                <w:sz w:val="18"/>
                <w:szCs w:val="22"/>
                <w:lang w:val="fr-FR"/>
              </w:rPr>
            </w:pPr>
            <w:r w:rsidRPr="009116D8">
              <w:rPr>
                <w:b/>
                <w:bCs/>
                <w:sz w:val="18"/>
                <w:szCs w:val="22"/>
                <w:lang w:val="fr-FR"/>
              </w:rPr>
              <w:t>2018</w:t>
            </w:r>
          </w:p>
        </w:tc>
        <w:tc>
          <w:tcPr>
            <w:tcW w:w="630" w:type="dxa"/>
          </w:tcPr>
          <w:p w:rsidR="008D4521" w:rsidRPr="009116D8" w:rsidRDefault="008D4521">
            <w:pPr>
              <w:jc w:val="center"/>
              <w:rPr>
                <w:b/>
                <w:bCs/>
                <w:sz w:val="18"/>
                <w:szCs w:val="22"/>
                <w:lang w:val="fr-FR"/>
              </w:rPr>
            </w:pPr>
            <w:r w:rsidRPr="009116D8">
              <w:rPr>
                <w:b/>
                <w:bCs/>
                <w:sz w:val="18"/>
                <w:szCs w:val="22"/>
                <w:lang w:val="fr-FR"/>
              </w:rPr>
              <w:t>Total</w:t>
            </w: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Personnel</w:t>
            </w: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1D014A" w:rsidP="001D014A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166,502</w:t>
            </w:r>
          </w:p>
        </w:tc>
        <w:tc>
          <w:tcPr>
            <w:tcW w:w="709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169,732</w:t>
            </w:r>
          </w:p>
        </w:tc>
        <w:tc>
          <w:tcPr>
            <w:tcW w:w="708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173,026</w:t>
            </w:r>
          </w:p>
        </w:tc>
        <w:tc>
          <w:tcPr>
            <w:tcW w:w="630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509,260</w:t>
            </w: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 xml:space="preserve">Activités du Secrétariat </w:t>
            </w: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45,000</w:t>
            </w:r>
          </w:p>
        </w:tc>
        <w:tc>
          <w:tcPr>
            <w:tcW w:w="709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50,000</w:t>
            </w:r>
          </w:p>
        </w:tc>
        <w:tc>
          <w:tcPr>
            <w:tcW w:w="708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65,000</w:t>
            </w:r>
          </w:p>
        </w:tc>
        <w:tc>
          <w:tcPr>
            <w:tcW w:w="630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160,000</w:t>
            </w:r>
          </w:p>
        </w:tc>
      </w:tr>
      <w:tr w:rsidR="001D014A" w:rsidRPr="00EB2C14" w:rsidTr="001D014A">
        <w:tc>
          <w:tcPr>
            <w:tcW w:w="6481" w:type="dxa"/>
          </w:tcPr>
          <w:p w:rsidR="001D014A" w:rsidRPr="009116D8" w:rsidRDefault="001D014A" w:rsidP="001D014A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Activités du Comité consultatif et des experts externes</w:t>
            </w: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30,000</w:t>
            </w:r>
          </w:p>
        </w:tc>
        <w:tc>
          <w:tcPr>
            <w:tcW w:w="709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30,000</w:t>
            </w:r>
          </w:p>
        </w:tc>
        <w:tc>
          <w:tcPr>
            <w:tcW w:w="708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30,000</w:t>
            </w:r>
          </w:p>
        </w:tc>
        <w:tc>
          <w:tcPr>
            <w:tcW w:w="630" w:type="dxa"/>
          </w:tcPr>
          <w:p w:rsidR="001D014A" w:rsidRPr="009116D8" w:rsidRDefault="00FE3A99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90,000</w:t>
            </w: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Réunions des organes directeurs</w:t>
            </w: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250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52,250</w:t>
            </w:r>
          </w:p>
        </w:tc>
        <w:tc>
          <w:tcPr>
            <w:tcW w:w="708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247,250</w:t>
            </w:r>
          </w:p>
        </w:tc>
        <w:tc>
          <w:tcPr>
            <w:tcW w:w="630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299,750</w:t>
            </w:r>
          </w:p>
        </w:tc>
      </w:tr>
      <w:tr w:rsidR="001D014A" w:rsidRPr="00EB2C14" w:rsidTr="001D014A">
        <w:tc>
          <w:tcPr>
            <w:tcW w:w="6481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Réunion des groupes de travail</w:t>
            </w: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17,000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17,000</w:t>
            </w:r>
          </w:p>
        </w:tc>
        <w:tc>
          <w:tcPr>
            <w:tcW w:w="708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630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34,000</w:t>
            </w: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B17F77" w:rsidP="008D4B7A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 xml:space="preserve">Coûts </w:t>
            </w:r>
            <w:r w:rsidR="008D4B7A"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de fonctionnement</w:t>
            </w: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1D014A" w:rsidRPr="009116D8" w:rsidRDefault="001D014A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5,400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5,600</w:t>
            </w:r>
          </w:p>
        </w:tc>
        <w:tc>
          <w:tcPr>
            <w:tcW w:w="708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5,600</w:t>
            </w:r>
          </w:p>
        </w:tc>
        <w:tc>
          <w:tcPr>
            <w:tcW w:w="630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16,600</w:t>
            </w: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Total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264,152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324,582</w:t>
            </w:r>
          </w:p>
        </w:tc>
        <w:tc>
          <w:tcPr>
            <w:tcW w:w="708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520,876</w:t>
            </w:r>
          </w:p>
        </w:tc>
        <w:tc>
          <w:tcPr>
            <w:tcW w:w="630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1,109,610</w:t>
            </w: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B17F77" w:rsidP="00773759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Dépenses d</w:t>
            </w:r>
            <w:r w:rsid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’</w:t>
            </w:r>
            <w:r w:rsidRP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appui au programme (13%)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34,340</w:t>
            </w:r>
          </w:p>
        </w:tc>
        <w:tc>
          <w:tcPr>
            <w:tcW w:w="709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42,196</w:t>
            </w:r>
          </w:p>
        </w:tc>
        <w:tc>
          <w:tcPr>
            <w:tcW w:w="708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67,714</w:t>
            </w:r>
          </w:p>
        </w:tc>
        <w:tc>
          <w:tcPr>
            <w:tcW w:w="630" w:type="dxa"/>
          </w:tcPr>
          <w:p w:rsidR="001D014A" w:rsidRPr="009116D8" w:rsidRDefault="00771535" w:rsidP="00773759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144,249</w:t>
            </w:r>
          </w:p>
        </w:tc>
      </w:tr>
      <w:tr w:rsidR="001D014A" w:rsidRPr="009116D8" w:rsidTr="001D014A">
        <w:tc>
          <w:tcPr>
            <w:tcW w:w="6481" w:type="dxa"/>
          </w:tcPr>
          <w:p w:rsidR="001D014A" w:rsidRPr="009116D8" w:rsidRDefault="00E20C94" w:rsidP="00B17F77">
            <w:pPr>
              <w:pStyle w:val="NoSpacing"/>
              <w:jc w:val="right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T</w:t>
            </w:r>
            <w:r w:rsidR="00B17F77" w:rsidRP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otal</w:t>
            </w:r>
            <w:r w:rsidRP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 xml:space="preserve"> général</w:t>
            </w:r>
          </w:p>
        </w:tc>
        <w:tc>
          <w:tcPr>
            <w:tcW w:w="709" w:type="dxa"/>
          </w:tcPr>
          <w:p w:rsidR="001D014A" w:rsidRPr="00771535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771535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298,491</w:t>
            </w:r>
          </w:p>
        </w:tc>
        <w:tc>
          <w:tcPr>
            <w:tcW w:w="709" w:type="dxa"/>
          </w:tcPr>
          <w:p w:rsidR="001D014A" w:rsidRPr="00771535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771535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366,777</w:t>
            </w:r>
          </w:p>
        </w:tc>
        <w:tc>
          <w:tcPr>
            <w:tcW w:w="708" w:type="dxa"/>
          </w:tcPr>
          <w:p w:rsidR="001D014A" w:rsidRPr="00771535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771535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588,590</w:t>
            </w:r>
          </w:p>
        </w:tc>
        <w:tc>
          <w:tcPr>
            <w:tcW w:w="630" w:type="dxa"/>
          </w:tcPr>
          <w:p w:rsidR="001D014A" w:rsidRPr="00771535" w:rsidRDefault="00771535" w:rsidP="00773759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771535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1,253,859</w:t>
            </w:r>
          </w:p>
        </w:tc>
      </w:tr>
    </w:tbl>
    <w:p w:rsidR="001D014A" w:rsidRPr="009116D8" w:rsidRDefault="001D014A" w:rsidP="00773759">
      <w:pPr>
        <w:pStyle w:val="NoSpacing"/>
        <w:jc w:val="both"/>
        <w:rPr>
          <w:noProof/>
          <w:lang w:val="fr-FR" w:eastAsia="fr-FR"/>
        </w:rPr>
      </w:pPr>
    </w:p>
    <w:p w:rsidR="00B25402" w:rsidRPr="009116D8" w:rsidRDefault="00B25402" w:rsidP="00B2540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B17F77" w:rsidP="00A6452B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/>
          <w:sz w:val="20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cénario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2 entraîne une diminution de 20 % 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>par rapport au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budget de la période triennale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précédente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Il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ne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prévoit 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une seule réunion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moins de financement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pour les activités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Les c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oûts des réunions d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groupe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travail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ne sont pas inclus.</w:t>
      </w:r>
    </w:p>
    <w:p w:rsidR="007A1EA2" w:rsidRPr="009116D8" w:rsidRDefault="007A1EA2" w:rsidP="00A6452B">
      <w:pPr>
        <w:pStyle w:val="NoSpacing"/>
        <w:jc w:val="both"/>
        <w:rPr>
          <w:rFonts w:ascii="Times New Roman" w:hAnsi="Times New Roman"/>
          <w:b/>
          <w:sz w:val="20"/>
          <w:szCs w:val="24"/>
          <w:lang w:val="fr-FR"/>
        </w:rPr>
      </w:pPr>
    </w:p>
    <w:p w:rsidR="007A1EA2" w:rsidRPr="009116D8" w:rsidRDefault="007A1EA2" w:rsidP="00A6452B">
      <w:pPr>
        <w:pStyle w:val="NoSpacing"/>
        <w:jc w:val="both"/>
        <w:rPr>
          <w:rFonts w:ascii="Times New Roman" w:hAnsi="Times New Roman"/>
          <w:b/>
          <w:sz w:val="20"/>
          <w:szCs w:val="24"/>
          <w:lang w:val="fr-FR"/>
        </w:rPr>
      </w:pPr>
    </w:p>
    <w:p w:rsidR="00500A7E" w:rsidRPr="009116D8" w:rsidRDefault="00500A7E" w:rsidP="00A6452B">
      <w:pPr>
        <w:pStyle w:val="NoSpacing"/>
        <w:jc w:val="both"/>
        <w:rPr>
          <w:rFonts w:ascii="Times New Roman" w:hAnsi="Times New Roman"/>
          <w:b/>
          <w:sz w:val="20"/>
          <w:szCs w:val="24"/>
          <w:lang w:val="fr-FR"/>
        </w:rPr>
      </w:pPr>
      <w:r w:rsidRPr="009116D8">
        <w:rPr>
          <w:rFonts w:ascii="Times New Roman" w:hAnsi="Times New Roman"/>
          <w:b/>
          <w:sz w:val="20"/>
          <w:szCs w:val="24"/>
          <w:lang w:val="fr-FR"/>
        </w:rPr>
        <w:t>Tableau 2: Vue d</w:t>
      </w:r>
      <w:r w:rsidR="009116D8">
        <w:rPr>
          <w:rFonts w:ascii="Times New Roman" w:hAnsi="Times New Roman"/>
          <w:b/>
          <w:sz w:val="20"/>
          <w:szCs w:val="24"/>
          <w:lang w:val="fr-FR"/>
        </w:rPr>
        <w:t>’</w:t>
      </w:r>
      <w:r w:rsidRPr="009116D8">
        <w:rPr>
          <w:rFonts w:ascii="Times New Roman" w:hAnsi="Times New Roman"/>
          <w:b/>
          <w:sz w:val="20"/>
          <w:szCs w:val="24"/>
          <w:lang w:val="fr-FR"/>
        </w:rPr>
        <w:t xml:space="preserve">ensemble </w:t>
      </w:r>
      <w:r w:rsidR="00B17F77" w:rsidRPr="009116D8">
        <w:rPr>
          <w:rFonts w:ascii="Times New Roman" w:hAnsi="Times New Roman"/>
          <w:b/>
          <w:sz w:val="20"/>
          <w:szCs w:val="24"/>
          <w:lang w:val="fr-FR"/>
        </w:rPr>
        <w:t>du scénario budgétaire</w:t>
      </w:r>
      <w:r w:rsidR="006C7D30" w:rsidRPr="009116D8">
        <w:rPr>
          <w:rFonts w:ascii="Times New Roman" w:hAnsi="Times New Roman"/>
          <w:b/>
          <w:sz w:val="20"/>
          <w:szCs w:val="24"/>
          <w:lang w:val="fr-FR"/>
        </w:rPr>
        <w:t xml:space="preserve"> </w:t>
      </w:r>
      <w:r w:rsidR="00B17F77" w:rsidRPr="009116D8">
        <w:rPr>
          <w:rFonts w:ascii="Times New Roman" w:hAnsi="Times New Roman"/>
          <w:b/>
          <w:sz w:val="20"/>
          <w:szCs w:val="24"/>
          <w:lang w:val="fr-FR"/>
        </w:rPr>
        <w:t>(</w:t>
      </w:r>
      <w:r w:rsidR="006C1BD8" w:rsidRPr="009116D8">
        <w:rPr>
          <w:rFonts w:ascii="Times New Roman" w:hAnsi="Times New Roman"/>
          <w:b/>
          <w:i/>
          <w:sz w:val="20"/>
          <w:szCs w:val="24"/>
          <w:lang w:val="fr-FR"/>
        </w:rPr>
        <w:t>en EUR</w:t>
      </w:r>
      <w:r w:rsidR="00B17F77" w:rsidRPr="009116D8">
        <w:rPr>
          <w:rFonts w:ascii="Times New Roman" w:hAnsi="Times New Roman"/>
          <w:b/>
          <w:sz w:val="20"/>
          <w:szCs w:val="24"/>
          <w:lang w:val="fr-FR"/>
        </w:rPr>
        <w:t>)</w:t>
      </w:r>
    </w:p>
    <w:p w:rsidR="000E3127" w:rsidRPr="009116D8" w:rsidRDefault="000E3127" w:rsidP="00073664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3"/>
        <w:gridCol w:w="810"/>
        <w:gridCol w:w="810"/>
        <w:gridCol w:w="810"/>
        <w:gridCol w:w="810"/>
      </w:tblGrid>
      <w:tr w:rsidR="006C1BD8" w:rsidRPr="009116D8" w:rsidTr="00B17F77">
        <w:tc>
          <w:tcPr>
            <w:tcW w:w="6481" w:type="dxa"/>
          </w:tcPr>
          <w:p w:rsidR="006C1BD8" w:rsidRPr="009116D8" w:rsidRDefault="006C1BD8" w:rsidP="00B17F77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6C1BD8" w:rsidRPr="009116D8" w:rsidRDefault="006C1BD8" w:rsidP="007D5C71">
            <w:pPr>
              <w:jc w:val="center"/>
              <w:rPr>
                <w:b/>
                <w:bCs/>
                <w:sz w:val="18"/>
                <w:szCs w:val="22"/>
                <w:lang w:val="fr-FR"/>
              </w:rPr>
            </w:pPr>
            <w:r w:rsidRPr="009116D8">
              <w:rPr>
                <w:b/>
                <w:bCs/>
                <w:sz w:val="18"/>
                <w:szCs w:val="22"/>
                <w:lang w:val="fr-FR"/>
              </w:rPr>
              <w:t>2016</w:t>
            </w:r>
          </w:p>
        </w:tc>
        <w:tc>
          <w:tcPr>
            <w:tcW w:w="709" w:type="dxa"/>
          </w:tcPr>
          <w:p w:rsidR="006C1BD8" w:rsidRPr="009116D8" w:rsidRDefault="006C1BD8" w:rsidP="007D5C71">
            <w:pPr>
              <w:jc w:val="center"/>
              <w:rPr>
                <w:b/>
                <w:bCs/>
                <w:sz w:val="18"/>
                <w:szCs w:val="22"/>
                <w:lang w:val="fr-FR"/>
              </w:rPr>
            </w:pPr>
            <w:r w:rsidRPr="009116D8">
              <w:rPr>
                <w:b/>
                <w:bCs/>
                <w:sz w:val="18"/>
                <w:szCs w:val="22"/>
                <w:lang w:val="fr-FR"/>
              </w:rPr>
              <w:t>2017</w:t>
            </w:r>
          </w:p>
        </w:tc>
        <w:tc>
          <w:tcPr>
            <w:tcW w:w="708" w:type="dxa"/>
          </w:tcPr>
          <w:p w:rsidR="006C1BD8" w:rsidRPr="009116D8" w:rsidRDefault="006C1BD8" w:rsidP="007D5C71">
            <w:pPr>
              <w:jc w:val="center"/>
              <w:rPr>
                <w:b/>
                <w:bCs/>
                <w:sz w:val="18"/>
                <w:szCs w:val="22"/>
                <w:lang w:val="fr-FR"/>
              </w:rPr>
            </w:pPr>
            <w:r w:rsidRPr="009116D8">
              <w:rPr>
                <w:b/>
                <w:bCs/>
                <w:sz w:val="18"/>
                <w:szCs w:val="22"/>
                <w:lang w:val="fr-FR"/>
              </w:rPr>
              <w:t>2018</w:t>
            </w:r>
          </w:p>
        </w:tc>
        <w:tc>
          <w:tcPr>
            <w:tcW w:w="630" w:type="dxa"/>
          </w:tcPr>
          <w:p w:rsidR="006C1BD8" w:rsidRPr="009116D8" w:rsidRDefault="006C1BD8" w:rsidP="007D5C71">
            <w:pPr>
              <w:jc w:val="center"/>
              <w:rPr>
                <w:b/>
                <w:bCs/>
                <w:sz w:val="18"/>
                <w:szCs w:val="22"/>
                <w:lang w:val="fr-FR"/>
              </w:rPr>
            </w:pPr>
            <w:r w:rsidRPr="009116D8">
              <w:rPr>
                <w:b/>
                <w:bCs/>
                <w:sz w:val="18"/>
                <w:szCs w:val="22"/>
                <w:lang w:val="fr-FR"/>
              </w:rPr>
              <w:t>Total</w:t>
            </w: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Personnel</w:t>
            </w: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166,502</w:t>
            </w:r>
          </w:p>
        </w:tc>
        <w:tc>
          <w:tcPr>
            <w:tcW w:w="709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169,732</w:t>
            </w:r>
          </w:p>
        </w:tc>
        <w:tc>
          <w:tcPr>
            <w:tcW w:w="708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173,026</w:t>
            </w:r>
          </w:p>
        </w:tc>
        <w:tc>
          <w:tcPr>
            <w:tcW w:w="630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509,260</w:t>
            </w: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 xml:space="preserve">Activités du Secrétariat </w:t>
            </w: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25,000</w:t>
            </w:r>
          </w:p>
        </w:tc>
        <w:tc>
          <w:tcPr>
            <w:tcW w:w="709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30,000</w:t>
            </w:r>
          </w:p>
        </w:tc>
        <w:tc>
          <w:tcPr>
            <w:tcW w:w="708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45,000</w:t>
            </w:r>
          </w:p>
        </w:tc>
        <w:tc>
          <w:tcPr>
            <w:tcW w:w="630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100,000</w:t>
            </w:r>
          </w:p>
        </w:tc>
      </w:tr>
      <w:tr w:rsidR="00B17F77" w:rsidRPr="00EB2C14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Activités du Comité consultatif et des experts externes</w:t>
            </w: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5,000</w:t>
            </w:r>
          </w:p>
        </w:tc>
        <w:tc>
          <w:tcPr>
            <w:tcW w:w="709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5,000</w:t>
            </w:r>
          </w:p>
        </w:tc>
        <w:tc>
          <w:tcPr>
            <w:tcW w:w="708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5,000</w:t>
            </w:r>
          </w:p>
        </w:tc>
        <w:tc>
          <w:tcPr>
            <w:tcW w:w="630" w:type="dxa"/>
          </w:tcPr>
          <w:p w:rsidR="00B17F77" w:rsidRPr="009116D8" w:rsidRDefault="00FC750B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15,000</w:t>
            </w: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Réunions des organes directeurs</w:t>
            </w: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B17F77" w:rsidRPr="00EB2C14" w:rsidTr="00B17F77">
        <w:tc>
          <w:tcPr>
            <w:tcW w:w="6481" w:type="dxa"/>
          </w:tcPr>
          <w:p w:rsidR="00B17F77" w:rsidRPr="009116D8" w:rsidRDefault="00A92E1D" w:rsidP="00B17F77">
            <w:pPr>
              <w:pStyle w:val="NoSpacing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i/>
                <w:noProof/>
                <w:sz w:val="18"/>
                <w:szCs w:val="18"/>
                <w:lang w:val="fr-FR" w:eastAsia="fr-FR"/>
              </w:rPr>
              <w:t>3</w:t>
            </w:r>
            <w:r w:rsidRPr="009116D8">
              <w:rPr>
                <w:rFonts w:asciiTheme="minorHAnsi" w:hAnsiTheme="minorHAnsi"/>
                <w:b/>
                <w:i/>
                <w:noProof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9116D8">
              <w:rPr>
                <w:rFonts w:asciiTheme="minorHAnsi" w:hAnsiTheme="minorHAnsi"/>
                <w:b/>
                <w:i/>
                <w:noProof/>
                <w:sz w:val="18"/>
                <w:szCs w:val="18"/>
                <w:lang w:val="fr-FR" w:eastAsia="fr-FR"/>
              </w:rPr>
              <w:t xml:space="preserve"> Réunion des Signataires (</w:t>
            </w:r>
            <w:r w:rsidR="00580BB1" w:rsidRPr="009116D8">
              <w:rPr>
                <w:rFonts w:asciiTheme="minorHAnsi" w:hAnsiTheme="minorHAnsi"/>
                <w:b/>
                <w:i/>
                <w:noProof/>
                <w:sz w:val="18"/>
                <w:szCs w:val="18"/>
                <w:lang w:val="fr-FR" w:eastAsia="fr-FR"/>
              </w:rPr>
              <w:t>MOS</w:t>
            </w:r>
            <w:r w:rsidRPr="009116D8">
              <w:rPr>
                <w:rFonts w:asciiTheme="minorHAnsi" w:hAnsiTheme="minorHAnsi"/>
                <w:b/>
                <w:i/>
                <w:noProof/>
                <w:sz w:val="18"/>
                <w:szCs w:val="18"/>
                <w:lang w:val="fr-FR" w:eastAsia="fr-FR"/>
              </w:rPr>
              <w:t>)</w:t>
            </w: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i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i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33,000</w:t>
            </w:r>
          </w:p>
        </w:tc>
        <w:tc>
          <w:tcPr>
            <w:tcW w:w="708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137,500</w:t>
            </w:r>
          </w:p>
        </w:tc>
        <w:tc>
          <w:tcPr>
            <w:tcW w:w="630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170,500</w:t>
            </w:r>
          </w:p>
        </w:tc>
      </w:tr>
      <w:tr w:rsidR="00B17F77" w:rsidRPr="00EB2C14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i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i/>
                <w:noProof/>
                <w:sz w:val="18"/>
                <w:szCs w:val="18"/>
                <w:lang w:val="fr-FR" w:eastAsia="fr-FR"/>
              </w:rPr>
              <w:t>Réunion des groupes de travail</w:t>
            </w: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708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630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0</w:t>
            </w: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 xml:space="preserve">Coûts </w:t>
            </w:r>
            <w:r w:rsidR="008D4B7A"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de fonctionnement</w:t>
            </w: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  <w:tc>
          <w:tcPr>
            <w:tcW w:w="630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Sous-total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5,400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5,600</w:t>
            </w:r>
          </w:p>
        </w:tc>
        <w:tc>
          <w:tcPr>
            <w:tcW w:w="708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5,600</w:t>
            </w:r>
          </w:p>
        </w:tc>
        <w:tc>
          <w:tcPr>
            <w:tcW w:w="630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16,600</w:t>
            </w: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right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Total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201,902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243,332</w:t>
            </w:r>
          </w:p>
        </w:tc>
        <w:tc>
          <w:tcPr>
            <w:tcW w:w="708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366,126</w:t>
            </w:r>
          </w:p>
        </w:tc>
        <w:tc>
          <w:tcPr>
            <w:tcW w:w="630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811,360</w:t>
            </w: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B17F77" w:rsidP="00B17F77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Dépenses d</w:t>
            </w:r>
            <w:r w:rsid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’</w:t>
            </w:r>
            <w:r w:rsidRP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appui au programme (13%)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26,247</w:t>
            </w:r>
          </w:p>
        </w:tc>
        <w:tc>
          <w:tcPr>
            <w:tcW w:w="709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31,633</w:t>
            </w:r>
          </w:p>
        </w:tc>
        <w:tc>
          <w:tcPr>
            <w:tcW w:w="708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47,596</w:t>
            </w:r>
          </w:p>
        </w:tc>
        <w:tc>
          <w:tcPr>
            <w:tcW w:w="630" w:type="dxa"/>
          </w:tcPr>
          <w:p w:rsidR="00B17F77" w:rsidRPr="009116D8" w:rsidRDefault="008F57FF" w:rsidP="00B17F77">
            <w:pPr>
              <w:pStyle w:val="NoSpacing"/>
              <w:jc w:val="both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105,477</w:t>
            </w:r>
          </w:p>
        </w:tc>
      </w:tr>
      <w:tr w:rsidR="00B17F77" w:rsidRPr="009116D8" w:rsidTr="00B17F77">
        <w:tc>
          <w:tcPr>
            <w:tcW w:w="6481" w:type="dxa"/>
          </w:tcPr>
          <w:p w:rsidR="00B17F77" w:rsidRPr="009116D8" w:rsidRDefault="00E20C94" w:rsidP="00B17F77">
            <w:pPr>
              <w:pStyle w:val="NoSpacing"/>
              <w:jc w:val="right"/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</w:pPr>
            <w:r w:rsidRPr="009116D8">
              <w:rPr>
                <w:rFonts w:asciiTheme="minorHAnsi" w:hAnsiTheme="minorHAnsi"/>
                <w:noProof/>
                <w:sz w:val="18"/>
                <w:szCs w:val="18"/>
                <w:lang w:val="fr-FR" w:eastAsia="fr-FR"/>
              </w:rPr>
              <w:t>Total général</w:t>
            </w:r>
          </w:p>
        </w:tc>
        <w:tc>
          <w:tcPr>
            <w:tcW w:w="709" w:type="dxa"/>
          </w:tcPr>
          <w:p w:rsidR="00B17F77" w:rsidRPr="008F57FF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8F57FF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228,149</w:t>
            </w:r>
          </w:p>
        </w:tc>
        <w:tc>
          <w:tcPr>
            <w:tcW w:w="709" w:type="dxa"/>
          </w:tcPr>
          <w:p w:rsidR="00B17F77" w:rsidRPr="008F57FF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8F57FF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274,965</w:t>
            </w:r>
          </w:p>
        </w:tc>
        <w:tc>
          <w:tcPr>
            <w:tcW w:w="708" w:type="dxa"/>
          </w:tcPr>
          <w:p w:rsidR="00B17F77" w:rsidRPr="008F57FF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8F57FF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413,723</w:t>
            </w:r>
          </w:p>
        </w:tc>
        <w:tc>
          <w:tcPr>
            <w:tcW w:w="630" w:type="dxa"/>
          </w:tcPr>
          <w:p w:rsidR="00B17F77" w:rsidRPr="008F57FF" w:rsidRDefault="008F57FF" w:rsidP="00B17F77">
            <w:pPr>
              <w:pStyle w:val="NoSpacing"/>
              <w:jc w:val="both"/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</w:pPr>
            <w:r w:rsidRPr="008F57FF">
              <w:rPr>
                <w:rFonts w:asciiTheme="minorHAnsi" w:hAnsiTheme="minorHAnsi"/>
                <w:b/>
                <w:noProof/>
                <w:sz w:val="18"/>
                <w:szCs w:val="18"/>
                <w:lang w:val="fr-FR" w:eastAsia="fr-FR"/>
              </w:rPr>
              <w:t>916,836</w:t>
            </w:r>
          </w:p>
        </w:tc>
      </w:tr>
    </w:tbl>
    <w:p w:rsidR="00B17F77" w:rsidRPr="009116D8" w:rsidRDefault="00B17F77" w:rsidP="000E3127">
      <w:pPr>
        <w:pStyle w:val="NoSpacing"/>
        <w:jc w:val="both"/>
        <w:rPr>
          <w:noProof/>
          <w:lang w:val="fr-FR" w:eastAsia="fr-FR"/>
        </w:rPr>
      </w:pPr>
    </w:p>
    <w:p w:rsidR="000E3127" w:rsidRPr="009116D8" w:rsidRDefault="000E3127" w:rsidP="000E3127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B25402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annexe 1 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>présente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dans un seul tableau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une comparaison plus détaillée des deux scénarios 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>et du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budget de la période triennale 2013-2015.</w:t>
      </w:r>
    </w:p>
    <w:p w:rsidR="00B25402" w:rsidRPr="009116D8" w:rsidRDefault="00B25402" w:rsidP="00B2540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672F4" w:rsidRPr="009116D8" w:rsidRDefault="006C1BD8" w:rsidP="00F10870">
      <w:pPr>
        <w:pStyle w:val="NoSpacing"/>
        <w:rPr>
          <w:rFonts w:ascii="Times New Roman" w:hAnsi="Times New Roman"/>
          <w:sz w:val="24"/>
          <w:szCs w:val="24"/>
          <w:u w:val="single"/>
          <w:lang w:val="fr-FR"/>
        </w:rPr>
      </w:pPr>
      <w:r w:rsidRPr="009116D8">
        <w:rPr>
          <w:rFonts w:ascii="Times New Roman" w:hAnsi="Times New Roman"/>
          <w:sz w:val="24"/>
          <w:szCs w:val="24"/>
          <w:u w:val="single"/>
          <w:lang w:val="fr-FR"/>
        </w:rPr>
        <w:t>Scénario</w:t>
      </w:r>
      <w:r w:rsidR="002672F4" w:rsidRPr="009116D8">
        <w:rPr>
          <w:rFonts w:ascii="Times New Roman" w:hAnsi="Times New Roman"/>
          <w:sz w:val="24"/>
          <w:szCs w:val="24"/>
          <w:u w:val="single"/>
          <w:lang w:val="fr-FR"/>
        </w:rPr>
        <w:t xml:space="preserve"> 1</w:t>
      </w:r>
    </w:p>
    <w:p w:rsidR="002672F4" w:rsidRPr="009116D8" w:rsidRDefault="002672F4" w:rsidP="00F10870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0A14F9" w:rsidRPr="009116D8" w:rsidRDefault="00A92E1D" w:rsidP="008263D7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cénario 1 (voir annexe 2) vise à couvrir les coûts d</w:t>
      </w:r>
      <w:r w:rsidR="009116D8" w:rsidRP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 Secrétariat pleinement fonctionnel, capable de mettre en œuvre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les activités décrites dans le p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rojet de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rogramme de travail (CMS/</w:t>
      </w:r>
      <w:proofErr w:type="spellStart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Sharks</w:t>
      </w:r>
      <w:proofErr w:type="spellEnd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/MOS2/Doc.9.1) et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le mandat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du Secrétariat intérimaire. En comparaison avec la période triennale précédente, il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présente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une augmentation de 9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 %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20C94" w:rsidRPr="009116D8" w:rsidRDefault="00E20C94">
      <w:pPr>
        <w:widowControl/>
        <w:autoSpaceDE/>
        <w:autoSpaceDN/>
        <w:adjustRightInd/>
        <w:rPr>
          <w:rFonts w:cs="Calibri"/>
          <w:i/>
          <w:sz w:val="24"/>
          <w:lang w:val="fr-FR"/>
        </w:rPr>
      </w:pPr>
      <w:r w:rsidRPr="009116D8">
        <w:rPr>
          <w:i/>
          <w:sz w:val="24"/>
          <w:lang w:val="fr-FR"/>
        </w:rPr>
        <w:br w:type="page"/>
      </w:r>
    </w:p>
    <w:p w:rsidR="00256660" w:rsidRPr="009116D8" w:rsidRDefault="00F2315E" w:rsidP="008263D7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lastRenderedPageBreak/>
        <w:t>Dépenses</w:t>
      </w:r>
      <w:r w:rsidR="00500A7E" w:rsidRPr="009116D8">
        <w:rPr>
          <w:rFonts w:ascii="Times New Roman" w:hAnsi="Times New Roman"/>
          <w:i/>
          <w:sz w:val="24"/>
          <w:szCs w:val="24"/>
          <w:lang w:val="fr-FR"/>
        </w:rPr>
        <w:t xml:space="preserve"> de personnel</w:t>
      </w:r>
    </w:p>
    <w:p w:rsidR="00500A7E" w:rsidRPr="009116D8" w:rsidRDefault="00500A7E" w:rsidP="00F10870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A92E1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MOS1</w:t>
      </w:r>
      <w:r w:rsidR="00A92E1D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les </w:t>
      </w:r>
      <w:r w:rsidR="00A92E1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Signataires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ont ap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prouvé la création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un poste P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3, qui n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 pas été 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pourvu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 ra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ison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insécurité budgétaire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comme 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cela est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expliqué dans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document</w:t>
      </w:r>
      <w:r w:rsidR="006C7D3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CMS/</w:t>
      </w:r>
      <w:proofErr w:type="spellStart"/>
      <w:r w:rsidRPr="009116D8">
        <w:rPr>
          <w:rFonts w:ascii="Times New Roman" w:hAnsi="Times New Roman" w:cs="Times New Roman"/>
          <w:sz w:val="24"/>
          <w:szCs w:val="24"/>
          <w:lang w:val="fr-FR"/>
        </w:rPr>
        <w:t>Sharks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/MOS2/Doc.10.2. 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expérience 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du Secrétariat </w:t>
      </w:r>
      <w:r w:rsidR="006C1BD8" w:rsidRPr="009116D8">
        <w:rPr>
          <w:rFonts w:ascii="Times New Roman" w:hAnsi="Times New Roman" w:cs="Times New Roman"/>
          <w:sz w:val="24"/>
          <w:szCs w:val="24"/>
          <w:lang w:val="fr-FR"/>
        </w:rPr>
        <w:t>en matière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gestion du </w:t>
      </w:r>
      <w:proofErr w:type="spellStart"/>
      <w:r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cours de la période triennale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précédente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montre 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un poste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administrateur de programme (P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3) 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temps plein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soutenu par un 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poste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assistant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dministratif à temps partiel (G5, 50 %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) serai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nécessaire pour répondre aux demandes croissantes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un secrétariat pleinement opérationnel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. 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n tel contingent de personnel est donc inclus dans les deux scénarios. En particulier, la gestion et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exécution du budget </w:t>
      </w:r>
      <w:r w:rsidR="004A668B" w:rsidRPr="009116D8">
        <w:rPr>
          <w:rFonts w:ascii="Times New Roman" w:hAnsi="Times New Roman" w:cs="Times New Roman"/>
          <w:sz w:val="24"/>
          <w:szCs w:val="24"/>
          <w:lang w:val="fr-FR"/>
        </w:rPr>
        <w:t>incluant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fonctions relatives à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a rédaction des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rapports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à la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recherche de financements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représenta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tion du </w:t>
      </w:r>
      <w:proofErr w:type="spellStart"/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aux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réunions internationales, la planification des activités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>ainsi que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A668B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A668B" w:rsidRPr="009116D8">
        <w:rPr>
          <w:rFonts w:ascii="Times New Roman" w:hAnsi="Times New Roman" w:cs="Times New Roman"/>
          <w:sz w:val="24"/>
          <w:szCs w:val="24"/>
          <w:lang w:val="fr-FR"/>
        </w:rPr>
        <w:t>élaboration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E20C94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gestion des projets</w:t>
      </w:r>
      <w:r w:rsidR="004A668B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nécessite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moins le niveau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 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>poste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D4B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administrateur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P3.</w:t>
      </w:r>
    </w:p>
    <w:p w:rsidR="00366BFD" w:rsidRPr="009116D8" w:rsidRDefault="00366BFD" w:rsidP="00F10870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297422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>Activités du Secrétariat et coûts de fonctionnement</w:t>
      </w:r>
    </w:p>
    <w:p w:rsidR="00500A7E" w:rsidRPr="009116D8" w:rsidRDefault="00500A7E" w:rsidP="00297422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Les prévisions budgétaires pour les activités et </w:t>
      </w:r>
      <w:r w:rsidR="004A668B" w:rsidRPr="009116D8">
        <w:rPr>
          <w:rFonts w:ascii="Times New Roman" w:hAnsi="Times New Roman" w:cs="Times New Roman"/>
          <w:sz w:val="24"/>
          <w:szCs w:val="24"/>
          <w:lang w:val="fr-FR"/>
        </w:rPr>
        <w:t>le fonctionnement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du Secrétariat sont basées sur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expérience de la période triennale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précédente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Des dispositions ont été prises pour une augmentation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des activités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traduction lors 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deuxième et troisième année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aux cours desquelles sont prévues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Réunion des Signataires et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AC. Il convient également de noter 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aucune disposition n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 été prise pour le loyer et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entretien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espace de bureau,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que ceux-ci continuent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être pris en charge par le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Gouvernement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Allemagne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au titre des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termes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accord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pour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accueil de la F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amille CMS à Bonn. En comparaison avec la dernière période triennale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quelques postes de dépenses, comme les frais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de fonctionnement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65713F" w:rsidRPr="009116D8">
        <w:rPr>
          <w:rFonts w:ascii="Times New Roman" w:hAnsi="Times New Roman" w:cs="Times New Roman"/>
          <w:sz w:val="24"/>
          <w:szCs w:val="24"/>
          <w:lang w:val="fr-FR"/>
        </w:rPr>
        <w:t>de traduction,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impression de documents techniques et </w:t>
      </w:r>
      <w:r w:rsidR="0065713F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accueil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, ont être réduit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12ACA" w:rsidRPr="009116D8">
        <w:rPr>
          <w:rFonts w:ascii="Times New Roman" w:hAnsi="Times New Roman" w:cs="Times New Roman"/>
          <w:sz w:val="24"/>
          <w:szCs w:val="24"/>
          <w:lang w:val="fr-FR"/>
        </w:rPr>
        <w:t>compte tenu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expérience passée.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 formation régulière du personnel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étant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une exigence en vertu des règlements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des Nations Unies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, une nouvelle ligne budgétaire pour la formation du personnel a été inclus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C2416" w:rsidRPr="009116D8" w:rsidRDefault="00CC2416" w:rsidP="00F10870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CC2416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 xml:space="preserve">Activités du Comité consultatif et </w:t>
      </w:r>
      <w:r w:rsidR="00AF1BAE" w:rsidRPr="009116D8">
        <w:rPr>
          <w:rFonts w:ascii="Times New Roman" w:hAnsi="Times New Roman"/>
          <w:i/>
          <w:sz w:val="24"/>
          <w:szCs w:val="24"/>
          <w:lang w:val="fr-FR"/>
        </w:rPr>
        <w:t xml:space="preserve">des experts </w:t>
      </w:r>
      <w:r w:rsidRPr="009116D8">
        <w:rPr>
          <w:rFonts w:ascii="Times New Roman" w:hAnsi="Times New Roman"/>
          <w:i/>
          <w:sz w:val="24"/>
          <w:szCs w:val="24"/>
          <w:lang w:val="fr-FR"/>
        </w:rPr>
        <w:t>extern</w:t>
      </w:r>
      <w:r w:rsidR="00AF1BAE" w:rsidRPr="009116D8">
        <w:rPr>
          <w:rFonts w:ascii="Times New Roman" w:hAnsi="Times New Roman"/>
          <w:i/>
          <w:sz w:val="24"/>
          <w:szCs w:val="24"/>
          <w:lang w:val="fr-FR"/>
        </w:rPr>
        <w:t>e</w:t>
      </w:r>
      <w:r w:rsidRPr="009116D8">
        <w:rPr>
          <w:rFonts w:ascii="Times New Roman" w:hAnsi="Times New Roman"/>
          <w:i/>
          <w:sz w:val="24"/>
          <w:szCs w:val="24"/>
          <w:lang w:val="fr-FR"/>
        </w:rPr>
        <w:t>s</w:t>
      </w:r>
    </w:p>
    <w:p w:rsidR="00500A7E" w:rsidRPr="009116D8" w:rsidRDefault="00500A7E" w:rsidP="00F10870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budget comprend les frais de voyage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membres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afin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représenter le </w:t>
      </w:r>
      <w:proofErr w:type="spellStart"/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aux réunions des organisations régionales de gestion des pêches (ORGP) ou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autres organismes 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>pertinents</w:t>
      </w:r>
      <w:r w:rsidR="00AF1BAE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de constituer et maintenir une relation de travail avec ces organisations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comme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cela est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discuté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au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point 9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ordre du jour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Programme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de travail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»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point</w:t>
      </w:r>
      <w:r w:rsidR="006C7D3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11« Partenariats et Coopération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Il s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agit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une activité importante </w:t>
      </w:r>
      <w:r w:rsidR="00512ACA"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mise en œuvre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 des principaux mandats du Secrétariat et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 visant à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améliorer la coopération avec les organisations de pêche 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>concernées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afin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unir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les efforts et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éviter les doubles emplois.</w:t>
      </w:r>
    </w:p>
    <w:p w:rsidR="009F1D92" w:rsidRPr="009116D8" w:rsidRDefault="009F1D92" w:rsidP="00F10870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9F1D92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>Réunions des Signataires</w:t>
      </w:r>
    </w:p>
    <w:p w:rsidR="00500A7E" w:rsidRPr="009116D8" w:rsidRDefault="00500A7E" w:rsidP="009F1D92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augmentation significative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besoins budgétaires pour la troisième année de la période triennale est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due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à la prévision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roisième Réunion des Signataires (MOS3)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512ACA" w:rsidRPr="009116D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2018. Les coûts d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e cette réunion ont été estimé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 sur la base d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e la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participation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environ vingt-cinq délégués parrainés et cinq membres du Secrétariat. Cependant, ces coûts sont susceptibles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augmenter de manière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significative,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les efforts se poursuiv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nt pour encourager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de nouveaux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États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aire de répartition</w:t>
      </w:r>
      <w:r w:rsidR="006C7D3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rejoindre le </w:t>
      </w:r>
      <w:proofErr w:type="spellStart"/>
      <w:r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>. Les frais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interprétation ont également été augmenté,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le déplacement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six interprètes d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evant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être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prévu </w:t>
      </w:r>
      <w:r w:rsidR="00BC70D4" w:rsidRPr="009116D8">
        <w:rPr>
          <w:rFonts w:ascii="Times New Roman" w:hAnsi="Times New Roman" w:cs="Times New Roman"/>
          <w:sz w:val="24"/>
          <w:szCs w:val="24"/>
          <w:lang w:val="fr-FR"/>
        </w:rPr>
        <w:t>dans ce poste budgétaire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élaboration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documents techniques est seulement prévu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cours des deux dernières années </w:t>
      </w:r>
      <w:r w:rsidR="00E2352B" w:rsidRPr="009116D8">
        <w:rPr>
          <w:rFonts w:ascii="Times New Roman" w:hAnsi="Times New Roman" w:cs="Times New Roman"/>
          <w:sz w:val="24"/>
          <w:szCs w:val="24"/>
          <w:lang w:val="fr-FR"/>
        </w:rPr>
        <w:t>précédant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réunion, ce qui entraîne à son tour une réduction des coûts sur ce </w:t>
      </w:r>
      <w:r w:rsidR="00BC70D4" w:rsidRPr="009116D8">
        <w:rPr>
          <w:rFonts w:ascii="Times New Roman" w:hAnsi="Times New Roman" w:cs="Times New Roman"/>
          <w:sz w:val="24"/>
          <w:szCs w:val="24"/>
          <w:lang w:val="fr-FR"/>
        </w:rPr>
        <w:t>poste budgétaire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F1D92" w:rsidRPr="009116D8" w:rsidRDefault="009F1D92" w:rsidP="009F1D9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116D8" w:rsidRDefault="009116D8">
      <w:pPr>
        <w:widowControl/>
        <w:autoSpaceDE/>
        <w:autoSpaceDN/>
        <w:adjustRightInd/>
        <w:rPr>
          <w:rFonts w:cs="Calibri"/>
          <w:i/>
          <w:sz w:val="24"/>
          <w:lang w:val="fr-FR"/>
        </w:rPr>
      </w:pPr>
      <w:r>
        <w:rPr>
          <w:i/>
          <w:sz w:val="24"/>
          <w:lang w:val="fr-FR"/>
        </w:rPr>
        <w:br w:type="page"/>
      </w:r>
    </w:p>
    <w:p w:rsidR="00500A7E" w:rsidRPr="009116D8" w:rsidRDefault="00500A7E" w:rsidP="009F1D92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 xml:space="preserve">Réunions du Comité </w:t>
      </w:r>
      <w:r w:rsidR="00E2352B" w:rsidRPr="009116D8">
        <w:rPr>
          <w:rFonts w:ascii="Times New Roman" w:hAnsi="Times New Roman"/>
          <w:i/>
          <w:sz w:val="24"/>
          <w:szCs w:val="24"/>
          <w:lang w:val="fr-FR"/>
        </w:rPr>
        <w:t>consultati</w:t>
      </w:r>
      <w:r w:rsidR="001A508A" w:rsidRPr="009116D8">
        <w:rPr>
          <w:rFonts w:ascii="Times New Roman" w:hAnsi="Times New Roman"/>
          <w:i/>
          <w:sz w:val="24"/>
          <w:szCs w:val="24"/>
          <w:lang w:val="fr-FR"/>
        </w:rPr>
        <w:t>f</w:t>
      </w:r>
    </w:p>
    <w:p w:rsidR="00500A7E" w:rsidRPr="009116D8" w:rsidRDefault="00500A7E" w:rsidP="009F1D92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Il est prévu que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deux réunions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AC soient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convoquée</w:t>
      </w:r>
      <w:r w:rsidR="001A508A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cours de la période triennale pour faciliter son travail. La proposition actuelle prévoit que les réunions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aient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lieu au début de 2017 et 2018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dernière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dev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ant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avoir lieu au moins six mois avant la MOS3.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Nonobstant le p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aragraphe 26 </w:t>
      </w:r>
      <w:r w:rsidR="00512ACA" w:rsidRPr="009116D8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le Secrétariat recommande de ne pas tenir la réunion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conjointement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avec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MOS,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afin de laisser davantage de temps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pour la préparation des documents et des </w:t>
      </w:r>
      <w:r w:rsidR="0065713F" w:rsidRPr="009116D8">
        <w:rPr>
          <w:rFonts w:ascii="Times New Roman" w:hAnsi="Times New Roman" w:cs="Times New Roman"/>
          <w:sz w:val="24"/>
          <w:szCs w:val="24"/>
          <w:lang w:val="fr-FR"/>
        </w:rPr>
        <w:t>recommandations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résulta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nt des délibérations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AC.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après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expérience de la CMS, cet arrangement ne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devrait pas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entraîner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augmentation des coûts,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participants à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 </w:t>
      </w:r>
      <w:r w:rsidR="00512ACA" w:rsidRPr="009116D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étant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12AC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généralement pas les mêmes que 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>les participants à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MOS. En outre, le Secrétariat pourrait accueillir une telle réunion dans ses locaux à Bonn,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faisant ainsi des économies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sur le</w:t>
      </w:r>
      <w:r w:rsidR="00512ACA" w:rsidRPr="009116D8">
        <w:rPr>
          <w:rFonts w:ascii="Times New Roman" w:hAnsi="Times New Roman" w:cs="Times New Roman"/>
          <w:sz w:val="24"/>
          <w:szCs w:val="24"/>
          <w:lang w:val="fr-FR"/>
        </w:rPr>
        <w:t>s dépenses relatives au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lieu et </w:t>
      </w:r>
      <w:r w:rsidR="00512ACA" w:rsidRPr="009116D8">
        <w:rPr>
          <w:rFonts w:ascii="Times New Roman" w:hAnsi="Times New Roman" w:cs="Times New Roman"/>
          <w:sz w:val="24"/>
          <w:szCs w:val="24"/>
          <w:lang w:val="fr-FR"/>
        </w:rPr>
        <w:t>aux aspects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techniques de la réunion.</w:t>
      </w:r>
    </w:p>
    <w:p w:rsidR="00FD7C39" w:rsidRPr="009116D8" w:rsidRDefault="00FD7C39" w:rsidP="003F612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500A7E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Les coûts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space de travail en ligne, créé pour faciliter la collaboration en ligne entre les membres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ont été maintenus à un niveau significativement plus faible que prévu, ce qui explique le chiffre réduit dans le budget proposé pour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ce </w:t>
      </w:r>
      <w:r w:rsidR="00BC70D4" w:rsidRPr="009116D8">
        <w:rPr>
          <w:rFonts w:ascii="Times New Roman" w:hAnsi="Times New Roman" w:cs="Times New Roman"/>
          <w:sz w:val="24"/>
          <w:szCs w:val="24"/>
          <w:lang w:val="fr-FR"/>
        </w:rPr>
        <w:t>poste budgétaire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A535C" w:rsidRPr="009116D8" w:rsidRDefault="003A535C" w:rsidP="003F612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B1294" w:rsidRPr="009116D8" w:rsidRDefault="00BB1294" w:rsidP="00F10870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500A7E" w:rsidP="00F10870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>Réunion des groupes de travail</w:t>
      </w:r>
    </w:p>
    <w:p w:rsidR="00500A7E" w:rsidRPr="009116D8" w:rsidRDefault="004E1539" w:rsidP="009F1D92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Pour être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 mesure de préparer et organiser des ateliers thématiques, comme indiqué sous le point 9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ordre du jour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Programme de travail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, le Secrétariat aurait besoin de ressources appropriées. Le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groupe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travail sout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iendrai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considérablement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trava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>ux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 en ce qui concerne les activités clés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Programme de travail et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contribuerai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ainsi de manière significative à la mise en œuvre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En supposant que ces ateliers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puissent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être organisés à Bonn, les coûts 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>relatifs au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lieu et </w:t>
      </w:r>
      <w:r w:rsidR="004C1051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équipement technique pourraient être relativement faible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97422" w:rsidRPr="009116D8" w:rsidRDefault="004E1539" w:rsidP="00297422">
      <w:pPr>
        <w:pStyle w:val="NoSpacing"/>
        <w:rPr>
          <w:rFonts w:ascii="Times New Roman" w:hAnsi="Times New Roman"/>
          <w:sz w:val="24"/>
          <w:szCs w:val="24"/>
          <w:u w:val="single"/>
          <w:lang w:val="fr-FR"/>
        </w:rPr>
      </w:pPr>
      <w:r w:rsidRPr="009116D8">
        <w:rPr>
          <w:rFonts w:ascii="Times New Roman" w:hAnsi="Times New Roman"/>
          <w:sz w:val="24"/>
          <w:szCs w:val="24"/>
          <w:u w:val="single"/>
          <w:lang w:val="fr-FR"/>
        </w:rPr>
        <w:t>Scé</w:t>
      </w:r>
      <w:r w:rsidR="00297422" w:rsidRPr="009116D8">
        <w:rPr>
          <w:rFonts w:ascii="Times New Roman" w:hAnsi="Times New Roman"/>
          <w:sz w:val="24"/>
          <w:szCs w:val="24"/>
          <w:u w:val="single"/>
          <w:lang w:val="fr-FR"/>
        </w:rPr>
        <w:t>nario 2</w:t>
      </w:r>
    </w:p>
    <w:p w:rsidR="002672F4" w:rsidRPr="009116D8" w:rsidRDefault="002672F4" w:rsidP="002672F4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</w:p>
    <w:p w:rsidR="00500A7E" w:rsidRPr="009116D8" w:rsidRDefault="004E1539" w:rsidP="009D3C7E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3858FC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cénario 2 (voir annexe 3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) c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omprend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es coûts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réduits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pour le Secrétariat qui </w:t>
      </w:r>
      <w:r w:rsidR="00A313FB" w:rsidRPr="009116D8">
        <w:rPr>
          <w:rFonts w:ascii="Times New Roman" w:hAnsi="Times New Roman" w:cs="Times New Roman"/>
          <w:sz w:val="24"/>
          <w:szCs w:val="24"/>
          <w:lang w:val="fr-FR"/>
        </w:rPr>
        <w:t>ne pourrait alors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remplir </w:t>
      </w:r>
      <w:r w:rsidR="00A313FB" w:rsidRPr="009116D8">
        <w:rPr>
          <w:rFonts w:ascii="Times New Roman" w:hAnsi="Times New Roman" w:cs="Times New Roman"/>
          <w:sz w:val="24"/>
          <w:szCs w:val="24"/>
          <w:lang w:val="fr-FR"/>
        </w:rPr>
        <w:t>que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ses fonctions les plus élémentaires et </w:t>
      </w:r>
      <w:r w:rsidR="00A313FB" w:rsidRPr="009116D8">
        <w:rPr>
          <w:rFonts w:ascii="Times New Roman" w:hAnsi="Times New Roman" w:cs="Times New Roman"/>
          <w:sz w:val="24"/>
          <w:szCs w:val="24"/>
          <w:lang w:val="fr-FR"/>
        </w:rPr>
        <w:t>ne pourrait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mettre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 œuvre </w:t>
      </w:r>
      <w:r w:rsidR="00A313F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que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partielle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ment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des activités supplémentaires </w:t>
      </w:r>
      <w:r w:rsidR="003858FC" w:rsidRPr="009116D8">
        <w:rPr>
          <w:rFonts w:ascii="Times New Roman" w:hAnsi="Times New Roman" w:cs="Times New Roman"/>
          <w:sz w:val="24"/>
          <w:szCs w:val="24"/>
          <w:lang w:val="fr-FR"/>
        </w:rPr>
        <w:t>figurant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dans le projet de Programme de travail. En comparaison avec le budget précédent,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cela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représente une </w:t>
      </w:r>
      <w:r w:rsidR="00A313FB" w:rsidRPr="009116D8">
        <w:rPr>
          <w:rFonts w:ascii="Times New Roman" w:hAnsi="Times New Roman" w:cs="Times New Roman"/>
          <w:sz w:val="24"/>
          <w:szCs w:val="24"/>
          <w:lang w:val="fr-FR"/>
        </w:rPr>
        <w:t>réduction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20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 %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D3C7E" w:rsidRPr="009116D8" w:rsidRDefault="009D3C7E" w:rsidP="009D3C7E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4E1539" w:rsidP="00500A7E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Il est à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noter que ce scénario ne </w:t>
      </w:r>
      <w:r w:rsidR="00A313FB" w:rsidRPr="009116D8">
        <w:rPr>
          <w:rFonts w:ascii="Times New Roman" w:hAnsi="Times New Roman" w:cs="Times New Roman"/>
          <w:sz w:val="24"/>
          <w:szCs w:val="24"/>
          <w:lang w:val="fr-FR"/>
        </w:rPr>
        <w:t>pourrait pas être soutenu par l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contributions reçues </w:t>
      </w:r>
      <w:r w:rsidR="00A313FB" w:rsidRPr="009116D8">
        <w:rPr>
          <w:rFonts w:ascii="Times New Roman" w:hAnsi="Times New Roman" w:cs="Times New Roman"/>
          <w:sz w:val="24"/>
          <w:szCs w:val="24"/>
          <w:lang w:val="fr-FR"/>
        </w:rPr>
        <w:t>au cours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la période triennale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précédente.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Un engagement de financement aussi faible exigerait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utilisation du solde du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ou </w:t>
      </w:r>
      <w:r w:rsidR="00F2315E" w:rsidRPr="009116D8">
        <w:rPr>
          <w:rFonts w:ascii="Times New Roman" w:hAnsi="Times New Roman" w:cs="Times New Roman"/>
          <w:sz w:val="24"/>
          <w:szCs w:val="24"/>
          <w:lang w:val="fr-FR"/>
        </w:rPr>
        <w:t>impliquerait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des efforts de collecte de fonds importants pour les activités de base, tels que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organisation de </w:t>
      </w:r>
      <w:r w:rsidR="00F2315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500A7E" w:rsidRPr="009116D8">
        <w:rPr>
          <w:rFonts w:ascii="Times New Roman" w:hAnsi="Times New Roman" w:cs="Times New Roman"/>
          <w:sz w:val="24"/>
          <w:szCs w:val="24"/>
          <w:lang w:val="fr-FR"/>
        </w:rPr>
        <w:t>MOS3.</w:t>
      </w:r>
    </w:p>
    <w:p w:rsidR="004D51E8" w:rsidRPr="009116D8" w:rsidRDefault="004D51E8" w:rsidP="00F10870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00A7E" w:rsidRPr="009116D8" w:rsidRDefault="00F2315E" w:rsidP="00FE5125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>Dépenses</w:t>
      </w:r>
      <w:r w:rsidR="00500A7E" w:rsidRPr="009116D8">
        <w:rPr>
          <w:rFonts w:ascii="Times New Roman" w:hAnsi="Times New Roman"/>
          <w:i/>
          <w:sz w:val="24"/>
          <w:szCs w:val="24"/>
          <w:lang w:val="fr-FR"/>
        </w:rPr>
        <w:t xml:space="preserve"> de personnel</w:t>
      </w:r>
    </w:p>
    <w:p w:rsidR="00500A7E" w:rsidRPr="009116D8" w:rsidRDefault="00500A7E" w:rsidP="00502F76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Les dépenses de personnel restent les mêmes que dans le scénario 1.</w:t>
      </w:r>
    </w:p>
    <w:p w:rsidR="00FE5125" w:rsidRPr="009116D8" w:rsidRDefault="00FE5125" w:rsidP="00FE5125">
      <w:pPr>
        <w:pStyle w:val="NoSpacing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</w:p>
    <w:p w:rsidR="00500A7E" w:rsidRPr="009116D8" w:rsidRDefault="00500A7E" w:rsidP="00FE5125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>Activités du Secrétariat et coûts de fonctionnement</w:t>
      </w:r>
    </w:p>
    <w:p w:rsidR="00F2315E" w:rsidRPr="009116D8" w:rsidRDefault="00F2315E" w:rsidP="00F2315E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/>
          <w:sz w:val="24"/>
          <w:szCs w:val="24"/>
          <w:lang w:val="fr-FR"/>
        </w:rPr>
        <w:t>Le scénario 2 comprend des coûts inférieurs pour les déplacements du personnel, le développement d</w:t>
      </w:r>
      <w:r w:rsidR="009116D8">
        <w:rPr>
          <w:rFonts w:ascii="Times New Roman" w:hAnsi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/>
          <w:sz w:val="24"/>
          <w:szCs w:val="24"/>
          <w:lang w:val="fr-FR"/>
        </w:rPr>
        <w:t>études analytiques et l</w:t>
      </w:r>
      <w:r w:rsidR="009116D8">
        <w:rPr>
          <w:rFonts w:ascii="Times New Roman" w:hAnsi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/>
          <w:sz w:val="24"/>
          <w:szCs w:val="24"/>
          <w:lang w:val="fr-FR"/>
        </w:rPr>
        <w:t xml:space="preserve">impression de </w:t>
      </w:r>
      <w:r w:rsidR="003858FC" w:rsidRPr="009116D8">
        <w:rPr>
          <w:rFonts w:ascii="Times New Roman" w:hAnsi="Times New Roman"/>
          <w:sz w:val="24"/>
          <w:szCs w:val="24"/>
          <w:lang w:val="fr-FR"/>
        </w:rPr>
        <w:t>documents</w:t>
      </w:r>
      <w:r w:rsidRPr="009116D8">
        <w:rPr>
          <w:rFonts w:ascii="Times New Roman" w:hAnsi="Times New Roman"/>
          <w:sz w:val="24"/>
          <w:szCs w:val="24"/>
          <w:lang w:val="fr-FR"/>
        </w:rPr>
        <w:t xml:space="preserve"> techniques et d</w:t>
      </w:r>
      <w:r w:rsidR="009116D8">
        <w:rPr>
          <w:rFonts w:ascii="Times New Roman" w:hAnsi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/>
          <w:sz w:val="24"/>
          <w:szCs w:val="24"/>
          <w:lang w:val="fr-FR"/>
        </w:rPr>
        <w:t>information</w:t>
      </w:r>
      <w:r w:rsidR="009116D8">
        <w:rPr>
          <w:rFonts w:ascii="Times New Roman" w:hAnsi="Times New Roman"/>
          <w:sz w:val="24"/>
          <w:szCs w:val="24"/>
          <w:lang w:val="fr-FR"/>
        </w:rPr>
        <w:t>.</w:t>
      </w:r>
    </w:p>
    <w:p w:rsidR="00F2315E" w:rsidRPr="009116D8" w:rsidRDefault="00F2315E" w:rsidP="00F2315E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631DA" w:rsidRPr="009116D8" w:rsidRDefault="002631DA" w:rsidP="00FE5125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 xml:space="preserve">Activités du Comité consultatif et </w:t>
      </w:r>
      <w:r w:rsidR="00F2315E" w:rsidRPr="009116D8">
        <w:rPr>
          <w:rFonts w:ascii="Times New Roman" w:hAnsi="Times New Roman"/>
          <w:i/>
          <w:sz w:val="24"/>
          <w:szCs w:val="24"/>
          <w:lang w:val="fr-FR"/>
        </w:rPr>
        <w:t xml:space="preserve">des experts </w:t>
      </w:r>
      <w:r w:rsidRPr="009116D8">
        <w:rPr>
          <w:rFonts w:ascii="Times New Roman" w:hAnsi="Times New Roman"/>
          <w:i/>
          <w:sz w:val="24"/>
          <w:szCs w:val="24"/>
          <w:lang w:val="fr-FR"/>
        </w:rPr>
        <w:t>extern</w:t>
      </w:r>
      <w:r w:rsidR="00F2315E" w:rsidRPr="009116D8">
        <w:rPr>
          <w:rFonts w:ascii="Times New Roman" w:hAnsi="Times New Roman"/>
          <w:i/>
          <w:sz w:val="24"/>
          <w:szCs w:val="24"/>
          <w:lang w:val="fr-FR"/>
        </w:rPr>
        <w:t>e</w:t>
      </w:r>
      <w:r w:rsidRPr="009116D8">
        <w:rPr>
          <w:rFonts w:ascii="Times New Roman" w:hAnsi="Times New Roman"/>
          <w:i/>
          <w:sz w:val="24"/>
          <w:szCs w:val="24"/>
          <w:lang w:val="fr-FR"/>
        </w:rPr>
        <w:t>s</w:t>
      </w:r>
    </w:p>
    <w:p w:rsidR="002631DA" w:rsidRPr="009116D8" w:rsidRDefault="002631DA" w:rsidP="00F2315E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Ce scénario permettrait seulement la participation du 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Président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AC à la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MOS3 tel que stipulé dans le 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mandat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A313FB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une réunion supplémentaire 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grande importance à identifi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er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le Comité.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Aucune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disposition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ne prévoi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participation des membres du Comité aux réunions 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ou ateliers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organisations de gestion des pêches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631DA" w:rsidRPr="009116D8" w:rsidRDefault="002631DA" w:rsidP="004748BD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>Réunions des Signataires</w:t>
      </w:r>
    </w:p>
    <w:p w:rsidR="002631DA" w:rsidRPr="009116D8" w:rsidRDefault="002631DA" w:rsidP="00FE5125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Ce scénario inclut le financement 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interprétation et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de la rédaction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du rapport. Il fournir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>ait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167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cependant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beaucoup moins de ressources pour les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dispositions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logistiques tel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 que le lieu et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équipement technique,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ce qui obligerait à ce que la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MOS3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ait lieu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dans les locaux du Secrétariat à Bonn, à moins 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 pays hôte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ne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se propose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ne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couvre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les coûts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un lieu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réunion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En outre, les ressources pour le soutien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participation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délégués à la réunion seraient réduites.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adhésion au </w:t>
      </w:r>
      <w:proofErr w:type="spellStart"/>
      <w:r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étant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augmentation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, ce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conduirait à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ce que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Secrétariat ne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>puisse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pas financer tous les délégués des pays éligibles, </w:t>
      </w:r>
      <w:r w:rsidR="0091106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sauf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si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es efforts de collecte de fonds supplémentaires du Secrétariat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le permettaient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E5125" w:rsidRPr="009116D8" w:rsidRDefault="00FE5125" w:rsidP="00FE5125">
      <w:pPr>
        <w:pStyle w:val="NoSpacing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</w:p>
    <w:p w:rsidR="002631DA" w:rsidRPr="009116D8" w:rsidRDefault="002631DA" w:rsidP="00FE5125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 xml:space="preserve">Réunions du Comité </w:t>
      </w:r>
      <w:r w:rsidR="0091106D" w:rsidRPr="009116D8">
        <w:rPr>
          <w:rFonts w:ascii="Times New Roman" w:hAnsi="Times New Roman"/>
          <w:i/>
          <w:sz w:val="24"/>
          <w:szCs w:val="24"/>
          <w:lang w:val="fr-FR"/>
        </w:rPr>
        <w:t>consultatif</w:t>
      </w:r>
    </w:p>
    <w:p w:rsidR="002631DA" w:rsidRPr="009116D8" w:rsidRDefault="0091106D" w:rsidP="00232E77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Les c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ontributions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permettant de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soutenir la participation des membres du Comité seraient réduites. Cela se traduirait par une seule réunion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AC. Comme dans le scénario 1, cette réunion serait découplée de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MOS3 et se tiendra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it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 2017.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space de tra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vail en ligne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créé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pour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faciliter la collaboration en ligne 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membres 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F315FA" w:rsidRPr="009116D8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ne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serait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>plus maintenu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9724F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serait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remplacé par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communication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courriel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E5125" w:rsidRPr="009116D8" w:rsidRDefault="00FE5125" w:rsidP="00FE5125">
      <w:pPr>
        <w:pStyle w:val="NoSpacing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</w:p>
    <w:p w:rsidR="002631DA" w:rsidRPr="009116D8" w:rsidRDefault="002631DA" w:rsidP="002631DA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>Réunion des groupes de travail</w:t>
      </w:r>
    </w:p>
    <w:p w:rsidR="002631DA" w:rsidRPr="009116D8" w:rsidRDefault="00AC4DB3" w:rsidP="002631DA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i/>
          <w:color w:val="5B9BD5"/>
          <w:sz w:val="24"/>
          <w:szCs w:val="24"/>
          <w:lang w:val="fr-FR"/>
        </w:rPr>
      </w:pPr>
      <w:r w:rsidRPr="009116D8">
        <w:rPr>
          <w:rFonts w:ascii="Times New Roman" w:hAnsi="Times New Roman"/>
          <w:sz w:val="24"/>
          <w:szCs w:val="24"/>
          <w:lang w:val="fr-FR"/>
        </w:rPr>
        <w:t xml:space="preserve">Aucune </w:t>
      </w:r>
      <w:r w:rsidR="002631DA" w:rsidRPr="009116D8">
        <w:rPr>
          <w:rFonts w:ascii="Times New Roman" w:hAnsi="Times New Roman"/>
          <w:sz w:val="24"/>
          <w:szCs w:val="24"/>
          <w:lang w:val="fr-FR"/>
        </w:rPr>
        <w:t>réunion d</w:t>
      </w:r>
      <w:r w:rsidR="00AE1D96" w:rsidRPr="009116D8">
        <w:rPr>
          <w:rFonts w:ascii="Times New Roman" w:hAnsi="Times New Roman"/>
          <w:sz w:val="24"/>
          <w:szCs w:val="24"/>
          <w:lang w:val="fr-FR"/>
        </w:rPr>
        <w:t>e</w:t>
      </w:r>
      <w:r w:rsidR="002631DA" w:rsidRPr="009116D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E1D96" w:rsidRPr="009116D8">
        <w:rPr>
          <w:rFonts w:ascii="Times New Roman" w:hAnsi="Times New Roman"/>
          <w:sz w:val="24"/>
          <w:szCs w:val="24"/>
          <w:lang w:val="fr-FR"/>
        </w:rPr>
        <w:t>g</w:t>
      </w:r>
      <w:r w:rsidR="002631DA" w:rsidRPr="009116D8">
        <w:rPr>
          <w:rFonts w:ascii="Times New Roman" w:hAnsi="Times New Roman"/>
          <w:sz w:val="24"/>
          <w:szCs w:val="24"/>
          <w:lang w:val="fr-FR"/>
        </w:rPr>
        <w:t>roupe</w:t>
      </w:r>
      <w:r w:rsidR="00AE1D96" w:rsidRPr="009116D8">
        <w:rPr>
          <w:rFonts w:ascii="Times New Roman" w:hAnsi="Times New Roman"/>
          <w:sz w:val="24"/>
          <w:szCs w:val="24"/>
          <w:lang w:val="fr-FR"/>
        </w:rPr>
        <w:t>s</w:t>
      </w:r>
      <w:r w:rsidR="002631DA" w:rsidRPr="009116D8">
        <w:rPr>
          <w:rFonts w:ascii="Times New Roman" w:hAnsi="Times New Roman"/>
          <w:sz w:val="24"/>
          <w:szCs w:val="24"/>
          <w:lang w:val="fr-FR"/>
        </w:rPr>
        <w:t xml:space="preserve"> de travail </w:t>
      </w:r>
      <w:r w:rsidRPr="009116D8">
        <w:rPr>
          <w:rFonts w:ascii="Times New Roman" w:hAnsi="Times New Roman"/>
          <w:sz w:val="24"/>
          <w:szCs w:val="24"/>
          <w:lang w:val="fr-FR"/>
        </w:rPr>
        <w:t>n</w:t>
      </w:r>
      <w:r w:rsidR="009116D8">
        <w:rPr>
          <w:rFonts w:ascii="Times New Roman" w:hAnsi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/>
          <w:sz w:val="24"/>
          <w:szCs w:val="24"/>
          <w:lang w:val="fr-FR"/>
        </w:rPr>
        <w:t>est prévu</w:t>
      </w:r>
      <w:r w:rsidR="00E2418F" w:rsidRPr="009116D8">
        <w:rPr>
          <w:rFonts w:ascii="Times New Roman" w:hAnsi="Times New Roman"/>
          <w:sz w:val="24"/>
          <w:szCs w:val="24"/>
          <w:lang w:val="fr-FR"/>
        </w:rPr>
        <w:t>e</w:t>
      </w:r>
      <w:r w:rsidRPr="009116D8">
        <w:rPr>
          <w:rFonts w:ascii="Times New Roman" w:hAnsi="Times New Roman"/>
          <w:sz w:val="24"/>
          <w:szCs w:val="24"/>
          <w:lang w:val="fr-FR"/>
        </w:rPr>
        <w:t xml:space="preserve"> dans </w:t>
      </w:r>
      <w:r w:rsidR="002631DA" w:rsidRPr="009116D8">
        <w:rPr>
          <w:rFonts w:ascii="Times New Roman" w:hAnsi="Times New Roman"/>
          <w:sz w:val="24"/>
          <w:szCs w:val="24"/>
          <w:lang w:val="fr-FR"/>
        </w:rPr>
        <w:t>ce scénario</w:t>
      </w:r>
      <w:r w:rsidRPr="009116D8">
        <w:rPr>
          <w:rFonts w:ascii="Times New Roman" w:hAnsi="Times New Roman"/>
          <w:sz w:val="24"/>
          <w:szCs w:val="24"/>
          <w:lang w:val="fr-FR"/>
        </w:rPr>
        <w:t xml:space="preserve"> budgétaire</w:t>
      </w:r>
      <w:r w:rsidR="002631DA" w:rsidRPr="009116D8">
        <w:rPr>
          <w:rFonts w:ascii="Times New Roman" w:hAnsi="Times New Roman"/>
          <w:sz w:val="24"/>
          <w:szCs w:val="24"/>
          <w:lang w:val="fr-FR"/>
        </w:rPr>
        <w:t>.</w:t>
      </w:r>
    </w:p>
    <w:p w:rsidR="002672F4" w:rsidRPr="009116D8" w:rsidRDefault="002672F4" w:rsidP="00F14715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 w:rsidRPr="009116D8">
        <w:rPr>
          <w:rFonts w:ascii="Times New Roman" w:hAnsi="Times New Roman"/>
          <w:sz w:val="24"/>
          <w:szCs w:val="24"/>
          <w:u w:val="single"/>
          <w:lang w:val="fr-FR"/>
        </w:rPr>
        <w:t>Contributions</w:t>
      </w: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631DA" w:rsidRPr="009116D8" w:rsidRDefault="002631DA" w:rsidP="00F14715">
      <w:pPr>
        <w:pStyle w:val="NoSpacing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9116D8">
        <w:rPr>
          <w:rFonts w:ascii="Times New Roman" w:hAnsi="Times New Roman"/>
          <w:i/>
          <w:sz w:val="24"/>
          <w:szCs w:val="24"/>
          <w:lang w:val="fr-FR"/>
        </w:rPr>
        <w:t>Contributions volontaires convenues</w:t>
      </w:r>
    </w:p>
    <w:p w:rsidR="002631DA" w:rsidRPr="009116D8" w:rsidRDefault="002631DA" w:rsidP="00F14715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Sans ressources suffisantes et prévisibles, le </w:t>
      </w:r>
      <w:proofErr w:type="spellStart"/>
      <w:r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est pas en mesure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atteindre ses objectifs les plus fondamentaux.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La dépendance à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égard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contributions volontaires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ponctuelles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qui ne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correspondent pas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budget convenu par les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Signataires 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pour financer le Secrétariat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est révélée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extrêmement difficile, notamment en raison de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impossibilité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conclure des contrats pluriannuels avec le personnel.</w:t>
      </w:r>
    </w:p>
    <w:p w:rsidR="008C6505" w:rsidRPr="009116D8" w:rsidRDefault="008C6505" w:rsidP="00820806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631DA" w:rsidRPr="009116D8" w:rsidRDefault="002631DA" w:rsidP="00F10870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Dans cette perspective, il est proposé que le budget soit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>partagé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entre les </w:t>
      </w:r>
      <w:r w:rsidR="00AC4DB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Signataires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sur une base volontaire.</w:t>
      </w:r>
    </w:p>
    <w:p w:rsidR="00054E0E" w:rsidRPr="009116D8" w:rsidRDefault="00054E0E" w:rsidP="00F10870">
      <w:pPr>
        <w:pStyle w:val="NoSpacing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</w:p>
    <w:p w:rsidR="002631DA" w:rsidRPr="009116D8" w:rsidRDefault="00AC4DB3" w:rsidP="00F14715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 proposition du Secrétariat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calculer les contributions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suivant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barème des Nations Unies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ayant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été rejeté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MOS1, le Secrétariat suggère que les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Signataires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indique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nt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418F" w:rsidRPr="009116D8">
        <w:rPr>
          <w:rFonts w:ascii="Times New Roman" w:hAnsi="Times New Roman" w:cs="Times New Roman"/>
          <w:sz w:val="24"/>
          <w:szCs w:val="24"/>
          <w:lang w:val="fr-FR"/>
        </w:rPr>
        <w:t>le montant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leur contribution annuelle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afin </w:t>
      </w:r>
      <w:r w:rsidR="0065713F" w:rsidRPr="009116D8">
        <w:rPr>
          <w:rFonts w:ascii="Times New Roman" w:hAnsi="Times New Roman" w:cs="Times New Roman"/>
          <w:sz w:val="24"/>
          <w:szCs w:val="24"/>
          <w:lang w:val="fr-FR"/>
        </w:rPr>
        <w:t>de garantir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budget convenu. Cela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fournirait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Secrétariat une base beaucoup plus fiable pour planifier les dépenses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relatives au personnel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aux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activités.</w:t>
      </w: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631DA" w:rsidRPr="009116D8" w:rsidRDefault="00AC4DB3" w:rsidP="00AC4DB3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cette fin,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annexe 4 fournit un tableau à remplir par les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Signataires avec le montant des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contributions volontaires 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ils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pourraient vraisemblablement off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rir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cours de la prochaine période triennale. 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es c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ontributions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calculées 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selon 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barème 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contributions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Assemblée générale des Nations Unies 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(A/</w:t>
      </w:r>
      <w:proofErr w:type="spellStart"/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Res</w:t>
      </w:r>
      <w:proofErr w:type="spellEnd"/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/64/248)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n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>ont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pas été proposé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dans ce tableau, mais </w:t>
      </w:r>
      <w:r w:rsidR="00E2418F" w:rsidRPr="009116D8">
        <w:rPr>
          <w:rFonts w:ascii="Times New Roman" w:hAnsi="Times New Roman" w:cs="Times New Roman"/>
          <w:sz w:val="24"/>
          <w:szCs w:val="24"/>
          <w:lang w:val="fr-FR"/>
        </w:rPr>
        <w:t>figurent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dans 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document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CMS/</w:t>
      </w:r>
      <w:proofErr w:type="spellStart"/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Sharks</w:t>
      </w:r>
      <w:proofErr w:type="spellEnd"/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/MOS2/Inf.15</w:t>
      </w: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116D8" w:rsidRDefault="009116D8">
      <w:pPr>
        <w:widowControl/>
        <w:autoSpaceDE/>
        <w:autoSpaceDN/>
        <w:adjustRightInd/>
        <w:rPr>
          <w:rFonts w:cs="Calibri"/>
          <w:sz w:val="24"/>
          <w:u w:val="single"/>
          <w:lang w:val="fr-FR"/>
        </w:rPr>
      </w:pPr>
      <w:r>
        <w:rPr>
          <w:sz w:val="24"/>
          <w:u w:val="single"/>
          <w:lang w:val="fr-FR"/>
        </w:rPr>
        <w:br w:type="page"/>
      </w:r>
    </w:p>
    <w:p w:rsidR="002631DA" w:rsidRPr="009116D8" w:rsidRDefault="002631DA" w:rsidP="00F14715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fr-FR"/>
        </w:rPr>
      </w:pPr>
      <w:r w:rsidRPr="009116D8">
        <w:rPr>
          <w:rFonts w:ascii="Times New Roman" w:hAnsi="Times New Roman"/>
          <w:sz w:val="24"/>
          <w:szCs w:val="24"/>
          <w:u w:val="single"/>
          <w:lang w:val="fr-FR"/>
        </w:rPr>
        <w:t>Dispositions financières</w:t>
      </w: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631DA" w:rsidRPr="009116D8" w:rsidRDefault="002631DA" w:rsidP="00F14715">
      <w:pPr>
        <w:pStyle w:val="NoSpacing"/>
        <w:numPr>
          <w:ilvl w:val="0"/>
          <w:numId w:val="31"/>
        </w:numPr>
        <w:ind w:left="0" w:firstLine="0"/>
        <w:jc w:val="both"/>
        <w:rPr>
          <w:rFonts w:ascii="Times New Roman" w:hAnsi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Il est proposé que les 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Signataires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demande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>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Directeur exécutif du PNUE de prolonger 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>de trois ans, jusqu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au 31 décembre 2018,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le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des Nations Unies pour la gestion du </w:t>
      </w:r>
      <w:proofErr w:type="spellStart"/>
      <w:r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projet de mandat 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amendé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pour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administration du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proposé 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fourni</w:t>
      </w:r>
      <w:r w:rsidR="00384859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annexe 5.</w:t>
      </w: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</w:p>
    <w:p w:rsidR="002631DA" w:rsidRPr="009116D8" w:rsidRDefault="00F14715" w:rsidP="002631DA">
      <w:pPr>
        <w:pStyle w:val="NoSpacing"/>
        <w:numPr>
          <w:ilvl w:val="0"/>
          <w:numId w:val="31"/>
        </w:numPr>
        <w:ind w:left="0" w:firstLine="0"/>
        <w:jc w:val="both"/>
        <w:rPr>
          <w:sz w:val="24"/>
          <w:lang w:val="fr-FR"/>
        </w:rPr>
      </w:pPr>
      <w:r w:rsidRPr="009116D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Conformément au Règlement financier et règles de gestion financière adopté</w:t>
      </w:r>
      <w:r w:rsidR="00AE1D96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Assemblée générale des Nations Unies pour la gestion des fonds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affectation spéciale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les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Signataires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sont avisés que les coûts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appui au programm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 sont 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prélevés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à un taux de 13 %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sur toutes les dépenses encourues.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Assemblée générale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Nations Unies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impose cette charge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pour que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les fonds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affectation spéciale ne so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ie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nt pas subventionné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 par les ressources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principales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Organisation des Nations Unies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que les coûts administratifs so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ie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nt entièrement couverts par les fonds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affectation spéciale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Pour les fonds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administrés par le PNUE, la pratique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est 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un tiers des ressources générées par les coûts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appui au programme so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it utilisé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pour soutenir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directement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administration du Fonds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affectation spéciale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tandis que les deux tiers restants sont utilisés par le siège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ONUN et le PNUE pour couvrir leur coûts associés à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administration du 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spéciale.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Les c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>oûts pour le soutien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nité </w:t>
      </w:r>
      <w:r w:rsidR="003648D4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gestion 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administrative et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financière de la</w:t>
      </w:r>
      <w:r w:rsidR="002631D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CMS sont donc en partie couverts.</w:t>
      </w:r>
    </w:p>
    <w:p w:rsidR="00451945" w:rsidRPr="009116D8" w:rsidRDefault="00451945" w:rsidP="00451945">
      <w:pPr>
        <w:pStyle w:val="NoSpacing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</w:p>
    <w:p w:rsidR="002631DA" w:rsidRPr="009116D8" w:rsidRDefault="002631DA" w:rsidP="002631DA">
      <w:pPr>
        <w:pStyle w:val="NoSpacing"/>
        <w:numPr>
          <w:ilvl w:val="0"/>
          <w:numId w:val="31"/>
        </w:numPr>
        <w:ind w:left="0" w:firstLine="0"/>
        <w:jc w:val="both"/>
        <w:rPr>
          <w:sz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En outre, les fonds 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0775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Nations Unies exigent 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le maintien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une réserve de trésorerie 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opérationnelle, </w:t>
      </w:r>
      <w:r w:rsidR="00E2418F" w:rsidRPr="009116D8">
        <w:rPr>
          <w:rFonts w:ascii="Times New Roman" w:hAnsi="Times New Roman" w:cs="Times New Roman"/>
          <w:sz w:val="24"/>
          <w:szCs w:val="24"/>
          <w:lang w:val="fr-FR"/>
        </w:rPr>
        <w:t>à un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niveau de 15 %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des dépenses annuelle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prévue</w:t>
      </w:r>
      <w:r w:rsidR="00E62E80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, pour couvrir les déficits et les dépenses finales du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spéciale, notamment </w:t>
      </w:r>
      <w:r w:rsidR="004F66B8" w:rsidRPr="009116D8">
        <w:rPr>
          <w:rFonts w:ascii="Times New Roman" w:hAnsi="Times New Roman" w:cs="Times New Roman"/>
          <w:sz w:val="24"/>
          <w:szCs w:val="24"/>
          <w:lang w:val="fr-FR"/>
        </w:rPr>
        <w:t>par le règlement de tous les engagements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 En outre, les ressources du Fonds ne peuvent être dépensé</w:t>
      </w:r>
      <w:r w:rsidR="0065713F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F66B8" w:rsidRPr="009116D8"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F66B8" w:rsidRPr="009116D8">
        <w:rPr>
          <w:rFonts w:ascii="Times New Roman" w:hAnsi="Times New Roman" w:cs="Times New Roman"/>
          <w:sz w:val="24"/>
          <w:szCs w:val="24"/>
          <w:lang w:val="fr-FR"/>
        </w:rPr>
        <w:t>après réception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paiements </w:t>
      </w:r>
      <w:r w:rsidR="0065713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suffisants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pour répondre aux prévisions de dépenses initiales et </w:t>
      </w:r>
      <w:r w:rsidR="0065713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exigence de réserve </w:t>
      </w:r>
      <w:r w:rsidR="004F66B8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trésorerie </w:t>
      </w:r>
      <w:r w:rsidR="0065713F" w:rsidRPr="009116D8">
        <w:rPr>
          <w:rFonts w:ascii="Times New Roman" w:hAnsi="Times New Roman" w:cs="Times New Roman"/>
          <w:sz w:val="24"/>
          <w:szCs w:val="24"/>
          <w:lang w:val="fr-FR"/>
        </w:rPr>
        <w:t>opérationnelle.</w:t>
      </w: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</w:p>
    <w:p w:rsidR="00F14715" w:rsidRPr="009116D8" w:rsidRDefault="00F14715" w:rsidP="00F14715">
      <w:pPr>
        <w:pStyle w:val="NoSpacing"/>
        <w:jc w:val="both"/>
        <w:rPr>
          <w:rFonts w:ascii="Times New Roman" w:hAnsi="Times New Roman"/>
          <w:color w:val="5B9BD5"/>
          <w:sz w:val="24"/>
          <w:szCs w:val="24"/>
          <w:lang w:val="fr-FR"/>
        </w:rPr>
      </w:pPr>
    </w:p>
    <w:p w:rsidR="00F14715" w:rsidRPr="009116D8" w:rsidRDefault="00F14715" w:rsidP="00F14715">
      <w:pPr>
        <w:jc w:val="both"/>
        <w:rPr>
          <w:b/>
          <w:i/>
          <w:sz w:val="24"/>
          <w:lang w:val="fr-FR"/>
        </w:rPr>
      </w:pPr>
      <w:r w:rsidRPr="009116D8">
        <w:rPr>
          <w:b/>
          <w:i/>
          <w:sz w:val="24"/>
          <w:u w:val="single"/>
          <w:lang w:val="fr-FR"/>
        </w:rPr>
        <w:t>Action requ</w:t>
      </w:r>
      <w:r w:rsidR="0065713F" w:rsidRPr="009116D8">
        <w:rPr>
          <w:b/>
          <w:i/>
          <w:sz w:val="24"/>
          <w:u w:val="single"/>
          <w:lang w:val="fr-FR"/>
        </w:rPr>
        <w:t>ise </w:t>
      </w:r>
      <w:r w:rsidRPr="009116D8">
        <w:rPr>
          <w:b/>
          <w:i/>
          <w:sz w:val="24"/>
          <w:lang w:val="fr-FR"/>
        </w:rPr>
        <w:t>:</w:t>
      </w:r>
    </w:p>
    <w:p w:rsidR="00F14715" w:rsidRPr="009116D8" w:rsidRDefault="00F14715" w:rsidP="00F14715">
      <w:pPr>
        <w:jc w:val="both"/>
        <w:rPr>
          <w:sz w:val="24"/>
          <w:lang w:val="fr-FR"/>
        </w:rPr>
      </w:pPr>
    </w:p>
    <w:p w:rsidR="00B769F9" w:rsidRPr="009116D8" w:rsidRDefault="00B769F9" w:rsidP="00F14715">
      <w:pPr>
        <w:jc w:val="both"/>
        <w:rPr>
          <w:sz w:val="24"/>
          <w:lang w:val="fr-FR"/>
        </w:rPr>
      </w:pPr>
      <w:r w:rsidRPr="009116D8">
        <w:rPr>
          <w:sz w:val="24"/>
          <w:lang w:val="fr-FR"/>
        </w:rPr>
        <w:t>La Réunion des Signataires est invitée à :</w:t>
      </w:r>
    </w:p>
    <w:p w:rsidR="00F14715" w:rsidRPr="009116D8" w:rsidRDefault="00F14715" w:rsidP="00F14715">
      <w:pPr>
        <w:jc w:val="both"/>
        <w:rPr>
          <w:sz w:val="24"/>
          <w:lang w:val="fr-FR"/>
        </w:rPr>
      </w:pPr>
    </w:p>
    <w:p w:rsidR="00B769F9" w:rsidRPr="009116D8" w:rsidRDefault="00B769F9" w:rsidP="00F14715">
      <w:pPr>
        <w:numPr>
          <w:ilvl w:val="0"/>
          <w:numId w:val="32"/>
        </w:numPr>
        <w:ind w:hanging="720"/>
        <w:jc w:val="both"/>
        <w:rPr>
          <w:sz w:val="24"/>
          <w:lang w:val="fr-FR"/>
        </w:rPr>
      </w:pPr>
      <w:r w:rsidRPr="009116D8">
        <w:rPr>
          <w:sz w:val="24"/>
          <w:lang w:val="fr-FR"/>
        </w:rPr>
        <w:t>Examiner les scénarios budgétaires présentés dans les annexes, en tenant également compte des discussions au titre du point 9 de l</w:t>
      </w:r>
      <w:r w:rsidR="009116D8">
        <w:rPr>
          <w:sz w:val="24"/>
          <w:lang w:val="fr-FR"/>
        </w:rPr>
        <w:t>’</w:t>
      </w:r>
      <w:r w:rsidRPr="009116D8">
        <w:rPr>
          <w:sz w:val="24"/>
          <w:lang w:val="fr-FR"/>
        </w:rPr>
        <w:t xml:space="preserve">ordre du jour, et </w:t>
      </w:r>
      <w:r w:rsidR="00A92E1D" w:rsidRPr="009116D8">
        <w:rPr>
          <w:sz w:val="24"/>
          <w:lang w:val="fr-FR"/>
        </w:rPr>
        <w:t xml:space="preserve">à </w:t>
      </w:r>
      <w:r w:rsidRPr="009116D8">
        <w:rPr>
          <w:sz w:val="24"/>
          <w:lang w:val="fr-FR"/>
        </w:rPr>
        <w:t>adopter un budget pour 2016-2018</w:t>
      </w:r>
      <w:r w:rsidR="00A92E1D" w:rsidRPr="009116D8">
        <w:rPr>
          <w:sz w:val="24"/>
          <w:lang w:val="fr-FR"/>
        </w:rPr>
        <w:t> </w:t>
      </w:r>
      <w:r w:rsidRPr="009116D8">
        <w:rPr>
          <w:sz w:val="24"/>
          <w:lang w:val="fr-FR"/>
        </w:rPr>
        <w:t>;</w:t>
      </w:r>
    </w:p>
    <w:p w:rsidR="00F14715" w:rsidRPr="009116D8" w:rsidRDefault="00F14715" w:rsidP="00F14715">
      <w:pPr>
        <w:jc w:val="both"/>
        <w:rPr>
          <w:sz w:val="24"/>
          <w:lang w:val="fr-FR"/>
        </w:rPr>
      </w:pPr>
    </w:p>
    <w:p w:rsidR="00B769F9" w:rsidRPr="009116D8" w:rsidRDefault="00A92E1D" w:rsidP="00F14715">
      <w:pPr>
        <w:numPr>
          <w:ilvl w:val="0"/>
          <w:numId w:val="32"/>
        </w:numPr>
        <w:ind w:hanging="720"/>
        <w:jc w:val="both"/>
        <w:rPr>
          <w:sz w:val="24"/>
          <w:lang w:val="fr-FR"/>
        </w:rPr>
      </w:pPr>
      <w:r w:rsidRPr="009116D8">
        <w:rPr>
          <w:sz w:val="24"/>
          <w:lang w:val="fr-FR"/>
        </w:rPr>
        <w:t>Conv</w:t>
      </w:r>
      <w:r w:rsidR="002033B0" w:rsidRPr="009116D8">
        <w:rPr>
          <w:sz w:val="24"/>
          <w:lang w:val="fr-FR"/>
        </w:rPr>
        <w:t>enir</w:t>
      </w:r>
      <w:r w:rsidRPr="009116D8">
        <w:rPr>
          <w:sz w:val="24"/>
          <w:lang w:val="fr-FR"/>
        </w:rPr>
        <w:t xml:space="preserve"> </w:t>
      </w:r>
      <w:r w:rsidR="00B769F9" w:rsidRPr="009116D8">
        <w:rPr>
          <w:sz w:val="24"/>
          <w:lang w:val="fr-FR"/>
        </w:rPr>
        <w:t xml:space="preserve">de partager les coûts </w:t>
      </w:r>
      <w:r w:rsidR="002033B0" w:rsidRPr="009116D8">
        <w:rPr>
          <w:sz w:val="24"/>
          <w:lang w:val="fr-FR"/>
        </w:rPr>
        <w:t>sur la base de</w:t>
      </w:r>
      <w:r w:rsidR="00B769F9" w:rsidRPr="009116D8">
        <w:rPr>
          <w:sz w:val="24"/>
          <w:lang w:val="fr-FR"/>
        </w:rPr>
        <w:t xml:space="preserve"> la répartition </w:t>
      </w:r>
      <w:r w:rsidR="0065713F" w:rsidRPr="009116D8">
        <w:rPr>
          <w:sz w:val="24"/>
          <w:lang w:val="fr-FR"/>
        </w:rPr>
        <w:t xml:space="preserve">devant être agréée, présentée en </w:t>
      </w:r>
      <w:r w:rsidR="00B769F9" w:rsidRPr="009116D8">
        <w:rPr>
          <w:sz w:val="24"/>
          <w:lang w:val="fr-FR"/>
        </w:rPr>
        <w:t>annexe 4</w:t>
      </w:r>
      <w:r w:rsidR="00882FF6" w:rsidRPr="009116D8">
        <w:rPr>
          <w:sz w:val="24"/>
          <w:lang w:val="fr-FR"/>
        </w:rPr>
        <w:t> ;</w:t>
      </w:r>
    </w:p>
    <w:p w:rsidR="00F14715" w:rsidRPr="009116D8" w:rsidRDefault="00F14715" w:rsidP="00F14715">
      <w:pPr>
        <w:pStyle w:val="ListParagraph"/>
        <w:ind w:left="0"/>
        <w:jc w:val="both"/>
        <w:rPr>
          <w:sz w:val="24"/>
          <w:lang w:val="fr-FR"/>
        </w:rPr>
      </w:pPr>
    </w:p>
    <w:p w:rsidR="00882FF6" w:rsidRPr="004D14BF" w:rsidRDefault="00A92E1D" w:rsidP="004D14BF">
      <w:pPr>
        <w:numPr>
          <w:ilvl w:val="0"/>
          <w:numId w:val="32"/>
        </w:numPr>
        <w:ind w:hanging="720"/>
        <w:jc w:val="both"/>
        <w:rPr>
          <w:sz w:val="24"/>
          <w:lang w:val="fr-FR"/>
        </w:rPr>
        <w:sectPr w:rsidR="00882FF6" w:rsidRPr="004D14BF" w:rsidSect="006A780B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endnotePr>
            <w:numFmt w:val="decimal"/>
          </w:endnotePr>
          <w:pgSz w:w="11905" w:h="16837" w:code="9"/>
          <w:pgMar w:top="1411" w:right="1411" w:bottom="1411" w:left="1411" w:header="504" w:footer="504" w:gutter="0"/>
          <w:cols w:space="720"/>
          <w:noEndnote/>
          <w:titlePg/>
          <w:docGrid w:linePitch="272"/>
        </w:sectPr>
      </w:pPr>
      <w:r w:rsidRPr="009116D8">
        <w:rPr>
          <w:sz w:val="24"/>
          <w:lang w:val="fr-FR"/>
        </w:rPr>
        <w:t>Adopte</w:t>
      </w:r>
      <w:r w:rsidR="00E2418F" w:rsidRPr="009116D8">
        <w:rPr>
          <w:sz w:val="24"/>
          <w:lang w:val="fr-FR"/>
        </w:rPr>
        <w:t>r</w:t>
      </w:r>
      <w:r w:rsidRPr="009116D8">
        <w:rPr>
          <w:sz w:val="24"/>
          <w:lang w:val="fr-FR"/>
        </w:rPr>
        <w:t xml:space="preserve"> </w:t>
      </w:r>
      <w:r w:rsidR="00B769F9" w:rsidRPr="009116D8">
        <w:rPr>
          <w:sz w:val="24"/>
          <w:lang w:val="fr-FR"/>
        </w:rPr>
        <w:t>le mandat révisé pour le Fonds d</w:t>
      </w:r>
      <w:r w:rsidR="009116D8">
        <w:rPr>
          <w:sz w:val="24"/>
          <w:lang w:val="fr-FR"/>
        </w:rPr>
        <w:t>’</w:t>
      </w:r>
      <w:r w:rsidR="00E2418F" w:rsidRPr="009116D8">
        <w:rPr>
          <w:sz w:val="24"/>
          <w:lang w:val="fr-FR"/>
        </w:rPr>
        <w:t>affectation spéciale, présenté</w:t>
      </w:r>
      <w:r w:rsidR="008D4B7A" w:rsidRPr="009116D8">
        <w:rPr>
          <w:sz w:val="24"/>
          <w:lang w:val="fr-FR"/>
        </w:rPr>
        <w:t xml:space="preserve"> à l</w:t>
      </w:r>
      <w:r w:rsidR="009116D8">
        <w:rPr>
          <w:sz w:val="24"/>
          <w:lang w:val="fr-FR"/>
        </w:rPr>
        <w:t>’</w:t>
      </w:r>
      <w:r w:rsidR="008D4B7A" w:rsidRPr="009116D8">
        <w:rPr>
          <w:sz w:val="24"/>
          <w:lang w:val="fr-FR"/>
        </w:rPr>
        <w:t>annexe 5</w:t>
      </w:r>
      <w:r w:rsidR="00882FF6" w:rsidRPr="009116D8">
        <w:rPr>
          <w:sz w:val="24"/>
          <w:lang w:val="fr-FR"/>
        </w:rPr>
        <w:t> ;</w:t>
      </w:r>
      <w:r w:rsidR="008D4B7A" w:rsidRPr="009116D8">
        <w:rPr>
          <w:sz w:val="24"/>
          <w:lang w:val="fr-FR"/>
        </w:rPr>
        <w:t xml:space="preserve"> et demande</w:t>
      </w:r>
      <w:r w:rsidR="00E2418F" w:rsidRPr="009116D8">
        <w:rPr>
          <w:sz w:val="24"/>
          <w:lang w:val="fr-FR"/>
        </w:rPr>
        <w:t>r</w:t>
      </w:r>
      <w:r w:rsidR="00B769F9" w:rsidRPr="009116D8">
        <w:rPr>
          <w:sz w:val="24"/>
          <w:lang w:val="fr-FR"/>
        </w:rPr>
        <w:t xml:space="preserve"> au Directeur exécutif du PNUE de prolonger le Fonds d</w:t>
      </w:r>
      <w:r w:rsidR="009116D8">
        <w:rPr>
          <w:sz w:val="24"/>
          <w:lang w:val="fr-FR"/>
        </w:rPr>
        <w:t>’</w:t>
      </w:r>
      <w:r w:rsidR="00B769F9" w:rsidRPr="009116D8">
        <w:rPr>
          <w:sz w:val="24"/>
          <w:lang w:val="fr-FR"/>
        </w:rPr>
        <w:t>affectation spéciale pour trois années supplémentaires</w:t>
      </w:r>
      <w:r w:rsidR="008D4B7A" w:rsidRPr="009116D8">
        <w:rPr>
          <w:sz w:val="24"/>
          <w:lang w:val="fr-FR"/>
        </w:rPr>
        <w:t>.</w:t>
      </w:r>
    </w:p>
    <w:p w:rsidR="006F4410" w:rsidRPr="009116D8" w:rsidRDefault="00EB2C14" w:rsidP="004D14BF">
      <w:pPr>
        <w:jc w:val="both"/>
        <w:rPr>
          <w:sz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EEA58E" wp14:editId="0951EF36">
                <wp:simplePos x="0" y="0"/>
                <wp:positionH relativeFrom="column">
                  <wp:posOffset>215265</wp:posOffset>
                </wp:positionH>
                <wp:positionV relativeFrom="paragraph">
                  <wp:posOffset>1295400</wp:posOffset>
                </wp:positionV>
                <wp:extent cx="514350" cy="952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968334" id="Rectangle 8" o:spid="_x0000_s1026" style="position:absolute;margin-left:16.95pt;margin-top:102pt;width:40.5pt;height:7.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49bQIAANYEAAAOAAAAZHJzL2Uyb0RvYy54bWysVMtu2zAQvBfoPxC8N7Jdu02EyIGRwEWB&#10;IAmaFDlvKMoSwFdJ2rL79R1ScpKmPRXlgdrlLvcxnNX5xV4rtpM+dNZUfHoy4UwaYevObCr+/WH9&#10;4ZSzEMnUpKyRFT/IwC+W79+d966UM9taVUvPEMSEsncVb2N0ZVEE0UpN4cQ6aWBsrNcUofpNUXvq&#10;EV2rYjaZfCp662vnrZAh4PRqMPJljt80UsTbpgkyMlVx1Bbz7vP+lPZieU7lxpNrOzGWQf9QhabO&#10;IOlzqCuKxLa++yOU7oS3wTbxRFhd2KbphMw9oJvp5E039y05mXsBOME9wxT+X1hxs7vzrKsrjocy&#10;pPFE3wAamY2S7DTB07tQwuve3flRCxBTr/vG6/RFF2yfIT08Qyr3kQkcLqbzjwsAL2A6W8wgIkjx&#10;ctf5EL9Iq1kSKu6RO+NIu+sQB9ejS0oVrOrqdadUVg7hUnm2I7wtKFHbnjNFIeKw4uu8xmy/XVOG&#10;9aDq7PMk1UUgXaMoQtQOMASz4YzUBmwW0edajE0ZUQyVqZYrCu2QNIdNKajUXQSPVacB5CStMbMy&#10;ySozE8eOEqADhEl6svUBL+DtQM3gxLpDkmv0cUceXESRmK94i61RFpXbUeKstf7n386TPygCK2c9&#10;uI2ufmzJS8Dz1YA8Z9P5PA1DVuaLzzMo/rXl6bXFbPWlBcRTTLITWUz+UR3Fxlv9iDFcpawwkRHI&#10;PeA3KpdxmDkMspCrVXbDADiK1+beiRT8CO/D/pG8G/kQwaMbe5wDKt/QYvBNN41dbaNtusyZF1zB&#10;taRgeDLrxkFP0/laz14vv6PlLwAAAP//AwBQSwMEFAAGAAgAAAAhACWfMxXgAAAACgEAAA8AAABk&#10;cnMvZG93bnJldi54bWxMj01Lw0AQhu+C/2EZwYu0u2mLpDGbIhYVeym2Ch632TEJZmdjdtPGf+/0&#10;pMd55+H9yFeja8UR+9B40pBMFQik0tuGKg1v+8dJCiJEQ9a0nlDDDwZYFZcXucmsP9ErHnexEmxC&#10;ITMa6hi7TMpQ1uhMmPoOiX+fvncm8tlX0vbmxOaulTOlbqUzDXFCbTp8qLH82g2OQ9Ltuntev6RP&#10;201nh/ebb/xIjdbXV+P9HYiIY/yD4Vyfq0PBnQ5+IBtEq2E+XzKpYaYWvOkMJAtWDqwkSwWyyOX/&#10;CcUvAAAA//8DAFBLAQItABQABgAIAAAAIQC2gziS/gAAAOEBAAATAAAAAAAAAAAAAAAAAAAAAABb&#10;Q29udGVudF9UeXBlc10ueG1sUEsBAi0AFAAGAAgAAAAhADj9If/WAAAAlAEAAAsAAAAAAAAAAAAA&#10;AAAALwEAAF9yZWxzLy5yZWxzUEsBAi0AFAAGAAgAAAAhAFKC/j1tAgAA1gQAAA4AAAAAAAAAAAAA&#10;AAAALgIAAGRycy9lMm9Eb2MueG1sUEsBAi0AFAAGAAgAAAAhACWfMxXgAAAACgEAAA8AAAAAAAAA&#10;AAAAAAAAxwQAAGRycy9kb3ducmV2LnhtbFBLBQYAAAAABAAEAPMAAADUBQAAAAA=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B88A6D" wp14:editId="47A34B24">
                <wp:simplePos x="0" y="0"/>
                <wp:positionH relativeFrom="column">
                  <wp:posOffset>1618615</wp:posOffset>
                </wp:positionH>
                <wp:positionV relativeFrom="paragraph">
                  <wp:posOffset>1187450</wp:posOffset>
                </wp:positionV>
                <wp:extent cx="514350" cy="952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2D41C5" id="Rectangle 6" o:spid="_x0000_s1026" style="position:absolute;margin-left:127.45pt;margin-top:93.5pt;width:40.5pt;height:7.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pkAIAAIIFAAAOAAAAZHJzL2Uyb0RvYy54bWysVMFu2zAMvQ/YPwi6r46zpGuDOkXQosOA&#10;oi3aDj0rshQLkEVNUuJkXz9Ksp2uK3YYloNCieQj+Uzy4nLfarITziswFS1PJpQIw6FWZlPR7883&#10;n84o8YGZmmkwoqIH4enl8uOHi84uxBQa0LVwBEGMX3S2ok0IdlEUnjeiZf4ErDColOBaFvDqNkXt&#10;WIforS6mk8lp0YGrrQMuvMfX66yky4QvpeDhXkovAtEVxdxCOl061/EslhdssXHMNor3abB/yKJl&#10;ymDQEeqaBUa2Tv0B1SruwIMMJxzaAqRUXKQasJpy8qaap4ZZkWpBcrwdafL/D5bf7R4cUXVFTykx&#10;rMVP9IikMbPRgpxGejrrF2j1ZB9cf/Moxlr30rXxH6sg+0TpYaRU7APh+DgvZ5/nSDxH1fl8iiKC&#10;FEdf63z4KqAlUaiow9iJR7a79SGbDiYxlAet6huldbrEJhFX2pEdw8+73pQ9+G9W2kRbA9ErA8aX&#10;IpaVC0lSOGgR7bR5FBL5wNSnKZHUiccgjHNhQplVDatFjj2f4G+IPqSVCk2AEVli/BG7BxgsM8iA&#10;nbPs7aOrSI08Ok/+llh2Hj1SZDBhdG6VAfcegMaq+sjZfiApUxNZWkN9wG5xkMfIW36j8LPdMh8e&#10;mMO5wQ+NuyDc4yE1dBWFXqKkAffzvfdoj+2MWko6nMOK+h9b5gQl+pvBRj8vZ7M4uOkym3+Z4sW9&#10;1qxfa8y2vQLshRK3juVJjPZBD6J00L7gyljFqKhihmPsivLghstVyPsBlw4Xq1Uyw2G1LNyaJ8sj&#10;eGQ1tuXz/oU52/duwJ6/g2Fm2eJNC2fb6GlgtQ0gVervI6893zjoqXH6pRQ3yet7sjquzuUvAAAA&#10;//8DAFBLAwQUAAYACAAAACEAPmw+wuAAAAALAQAADwAAAGRycy9kb3ducmV2LnhtbEyPwU7DMBBE&#10;70j8g7VIXBC1iSmUEKcCJCQuHCgV4ujGJrYar6PYTVK+nuUEx50Zzb6p1nPo2GiH5CMquFoIYBab&#10;aDy2Crbvz5crYClrNLqLaBUcbYJ1fXpS6dLECd/suMktoxJMpVbgcu5LzlPjbNBpEXuL5H3FIehM&#10;59ByM+iJykPHCyFueNAe6YPTvX1yttlvDkHB61HKl/FC7qetl63/5p+PHy4qdX42P9wDy3bOf2H4&#10;xSd0qIlpFw9oEusUFMvrO4qSsbqlUZSQcknKjixRCOB1xf9vqH8AAAD//wMAUEsBAi0AFAAGAAgA&#10;AAAhALaDOJL+AAAA4QEAABMAAAAAAAAAAAAAAAAAAAAAAFtDb250ZW50X1R5cGVzXS54bWxQSwEC&#10;LQAUAAYACAAAACEAOP0h/9YAAACUAQAACwAAAAAAAAAAAAAAAAAvAQAAX3JlbHMvLnJlbHNQSwEC&#10;LQAUAAYACAAAACEALkBPqZACAACCBQAADgAAAAAAAAAAAAAAAAAuAgAAZHJzL2Uyb0RvYy54bWxQ&#10;SwECLQAUAAYACAAAACEAPmw+wuAAAAALAQAADwAAAAAAAAAAAAAAAADqBAAAZHJzL2Rvd25yZXYu&#10;eG1sUEsFBgAAAAAEAAQA8wAAAPcFAAAAAA==&#10;" fillcolor="white [3212]" stroked="f" strokeweight="1pt"/>
            </w:pict>
          </mc:Fallback>
        </mc:AlternateContent>
      </w:r>
      <w:bookmarkStart w:id="0" w:name="_GoBack"/>
      <w:r w:rsidR="004D14BF" w:rsidRPr="004D14BF">
        <w:rPr>
          <w:noProof/>
        </w:rPr>
        <w:drawing>
          <wp:inline distT="0" distB="0" distL="0" distR="0" wp14:anchorId="2D68EF11" wp14:editId="2DA83951">
            <wp:extent cx="5132477" cy="9353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90" cy="936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4410" w:rsidRPr="009116D8" w:rsidRDefault="006F4410" w:rsidP="006F4410">
      <w:pPr>
        <w:rPr>
          <w:sz w:val="24"/>
          <w:lang w:val="fr-FR"/>
        </w:rPr>
        <w:sectPr w:rsidR="006F4410" w:rsidRPr="009116D8" w:rsidSect="006F4410">
          <w:headerReference w:type="first" r:id="rId18"/>
          <w:endnotePr>
            <w:numFmt w:val="decimal"/>
          </w:endnotePr>
          <w:pgSz w:w="11905" w:h="16837" w:code="9"/>
          <w:pgMar w:top="990" w:right="1411" w:bottom="990" w:left="1411" w:header="504" w:footer="504" w:gutter="0"/>
          <w:cols w:space="720"/>
          <w:noEndnote/>
          <w:titlePg/>
          <w:docGrid w:linePitch="272"/>
        </w:sectPr>
      </w:pPr>
    </w:p>
    <w:p w:rsidR="006F4410" w:rsidRPr="009116D8" w:rsidRDefault="004D14BF" w:rsidP="006F4410">
      <w:pPr>
        <w:rPr>
          <w:sz w:val="24"/>
          <w:lang w:val="fr-FR"/>
        </w:rPr>
      </w:pPr>
      <w:r w:rsidRPr="004D14BF">
        <w:rPr>
          <w:noProof/>
        </w:rPr>
        <w:drawing>
          <wp:inline distT="0" distB="0" distL="0" distR="0">
            <wp:extent cx="5767705" cy="8708401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05" cy="870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24B" w:rsidRPr="009116D8" w:rsidRDefault="008F624B" w:rsidP="006F4410">
      <w:pPr>
        <w:rPr>
          <w:sz w:val="24"/>
          <w:lang w:val="fr-FR"/>
        </w:rPr>
      </w:pPr>
    </w:p>
    <w:p w:rsidR="008F624B" w:rsidRPr="009116D8" w:rsidRDefault="008F624B" w:rsidP="006F4410">
      <w:pPr>
        <w:rPr>
          <w:sz w:val="24"/>
          <w:lang w:val="fr-FR"/>
        </w:rPr>
        <w:sectPr w:rsidR="008F624B" w:rsidRPr="009116D8" w:rsidSect="006F4410">
          <w:headerReference w:type="first" r:id="rId20"/>
          <w:endnotePr>
            <w:numFmt w:val="decimal"/>
          </w:endnotePr>
          <w:pgSz w:w="11905" w:h="16837" w:code="9"/>
          <w:pgMar w:top="990" w:right="1411" w:bottom="990" w:left="1411" w:header="504" w:footer="504" w:gutter="0"/>
          <w:cols w:space="720"/>
          <w:noEndnote/>
          <w:titlePg/>
          <w:docGrid w:linePitch="272"/>
        </w:sectPr>
      </w:pPr>
    </w:p>
    <w:p w:rsidR="006F4410" w:rsidRPr="009116D8" w:rsidRDefault="006F4410" w:rsidP="006F4410">
      <w:pPr>
        <w:rPr>
          <w:sz w:val="24"/>
          <w:lang w:val="fr-FR"/>
        </w:rPr>
      </w:pPr>
    </w:p>
    <w:p w:rsidR="0087093E" w:rsidRPr="009116D8" w:rsidRDefault="004D14BF" w:rsidP="00094143">
      <w:pPr>
        <w:ind w:right="-97"/>
        <w:jc w:val="center"/>
        <w:rPr>
          <w:lang w:val="fr-FR"/>
        </w:rPr>
      </w:pPr>
      <w:r w:rsidRPr="004D14BF">
        <w:rPr>
          <w:noProof/>
        </w:rPr>
        <w:drawing>
          <wp:inline distT="0" distB="0" distL="0" distR="0">
            <wp:extent cx="5767705" cy="8776613"/>
            <wp:effectExtent l="0" t="0" r="444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05" cy="877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715" w:rsidRPr="009116D8" w:rsidDel="00F14715">
        <w:rPr>
          <w:b/>
          <w:bCs/>
          <w:sz w:val="24"/>
          <w:lang w:val="fr-FR"/>
        </w:rPr>
        <w:t xml:space="preserve"> </w:t>
      </w:r>
    </w:p>
    <w:p w:rsidR="00A470AB" w:rsidRPr="009116D8" w:rsidRDefault="00A470AB" w:rsidP="0087093E">
      <w:pPr>
        <w:pStyle w:val="NoSpacing"/>
        <w:jc w:val="center"/>
        <w:rPr>
          <w:lang w:val="fr-FR"/>
        </w:rPr>
      </w:pPr>
    </w:p>
    <w:p w:rsidR="00A470AB" w:rsidRPr="009116D8" w:rsidRDefault="00A470AB" w:rsidP="003F6123">
      <w:pPr>
        <w:rPr>
          <w:lang w:val="fr-FR"/>
        </w:rPr>
      </w:pPr>
    </w:p>
    <w:p w:rsidR="00A470AB" w:rsidRPr="009116D8" w:rsidRDefault="00A470AB" w:rsidP="003F6123">
      <w:pPr>
        <w:rPr>
          <w:lang w:val="fr-FR"/>
        </w:rPr>
      </w:pPr>
    </w:p>
    <w:p w:rsidR="008F624B" w:rsidRPr="009116D8" w:rsidRDefault="008F624B" w:rsidP="004D14BF">
      <w:pPr>
        <w:tabs>
          <w:tab w:val="left" w:pos="1318"/>
        </w:tabs>
        <w:rPr>
          <w:lang w:val="fr-FR"/>
        </w:rPr>
        <w:sectPr w:rsidR="008F624B" w:rsidRPr="009116D8" w:rsidSect="006F4410">
          <w:headerReference w:type="default" r:id="rId22"/>
          <w:headerReference w:type="first" r:id="rId23"/>
          <w:endnotePr>
            <w:numFmt w:val="decimal"/>
          </w:endnotePr>
          <w:pgSz w:w="11905" w:h="16837" w:code="9"/>
          <w:pgMar w:top="990" w:right="1411" w:bottom="990" w:left="1411" w:header="504" w:footer="504" w:gutter="0"/>
          <w:cols w:space="720"/>
          <w:noEndnote/>
          <w:titlePg/>
          <w:docGrid w:linePitch="272"/>
        </w:sectPr>
      </w:pPr>
    </w:p>
    <w:p w:rsidR="0030315A" w:rsidRPr="009116D8" w:rsidRDefault="0030315A" w:rsidP="0087093E">
      <w:pPr>
        <w:pStyle w:val="NoSpacing"/>
        <w:jc w:val="center"/>
        <w:rPr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4618"/>
        <w:gridCol w:w="377"/>
        <w:gridCol w:w="1184"/>
        <w:gridCol w:w="1354"/>
        <w:gridCol w:w="1054"/>
      </w:tblGrid>
      <w:tr w:rsidR="0030315A" w:rsidRPr="00EB2C14" w:rsidTr="0030315A">
        <w:trPr>
          <w:trHeight w:val="288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15A" w:rsidRPr="009116D8" w:rsidRDefault="00E2418F" w:rsidP="00E2418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  <w:t>BARÈME DES CONTRIBUTIONS DES PARTIES POUR LA PÉRIODE 2016-2018 SELON LE BUDGET PROPOSÉ</w:t>
            </w:r>
            <w:r w:rsidR="0030315A" w:rsidRPr="009116D8"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30315A"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br/>
            </w:r>
            <w:r w:rsidR="0030315A" w:rsidRPr="009116D8">
              <w:rPr>
                <w:rFonts w:ascii="Calibri" w:hAnsi="Calibri"/>
                <w:i/>
                <w:iCs/>
                <w:sz w:val="22"/>
                <w:szCs w:val="22"/>
                <w:lang w:val="fr-FR"/>
              </w:rPr>
              <w:t>(</w:t>
            </w:r>
            <w:r w:rsidRPr="009116D8">
              <w:rPr>
                <w:rFonts w:ascii="Calibri" w:hAnsi="Calibri"/>
                <w:i/>
                <w:iCs/>
                <w:sz w:val="22"/>
                <w:szCs w:val="22"/>
                <w:lang w:val="fr-FR"/>
              </w:rPr>
              <w:t>en</w:t>
            </w:r>
            <w:r w:rsidR="0030315A" w:rsidRPr="009116D8">
              <w:rPr>
                <w:rFonts w:ascii="Calibri" w:hAnsi="Calibri"/>
                <w:i/>
                <w:iCs/>
                <w:sz w:val="22"/>
                <w:szCs w:val="22"/>
                <w:lang w:val="fr-FR"/>
              </w:rPr>
              <w:t xml:space="preserve"> EUR)</w:t>
            </w:r>
          </w:p>
        </w:tc>
      </w:tr>
      <w:tr w:rsidR="0030315A" w:rsidRPr="00EB2C14" w:rsidTr="0030315A">
        <w:trPr>
          <w:trHeight w:val="288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</w:p>
        </w:tc>
      </w:tr>
      <w:tr w:rsidR="0030315A" w:rsidRPr="00EB2C14" w:rsidTr="0030315A">
        <w:trPr>
          <w:trHeight w:val="288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</w:p>
        </w:tc>
      </w:tr>
      <w:tr w:rsidR="0030315A" w:rsidRPr="00EB2C14" w:rsidTr="0030315A">
        <w:trPr>
          <w:trHeight w:val="288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 N°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E2418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 Signat</w:t>
            </w:r>
            <w:r w:rsidR="00E2418F"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aire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%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E2418F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Évaluation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E2418F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Engagement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15A" w:rsidRPr="009116D8" w:rsidRDefault="00E2418F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Solde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917D13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Australia</w:t>
            </w:r>
            <w:proofErr w:type="spellEnd"/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 Australie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917D13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Belgium</w:t>
            </w:r>
            <w:proofErr w:type="spellEnd"/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 Belgique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Chile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 Chili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4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Colombia</w:t>
            </w:r>
            <w:proofErr w:type="spellEnd"/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 Colombie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5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Comoros</w:t>
            </w:r>
            <w:proofErr w:type="spellEnd"/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Comores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6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Congo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 Congo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7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Costa Rica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 Costa Rica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8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Denmark</w:t>
            </w:r>
            <w:proofErr w:type="spellEnd"/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 Danemark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9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Egypt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Égypte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EU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UE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11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Germany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Allemagne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12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Ghana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Ghana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13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Guinea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Guinée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14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Italy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Italie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15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Jordan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Jordanie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16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Kenya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Kenya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17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Liberia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Libéria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18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Libya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Libye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19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Mauritania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Mauritanie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Monaco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Monaco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21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Nauru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Nauru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22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Netherlands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Pays-Bas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23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New </w:t>
            </w: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Zealand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Nouvelle Zélande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24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Palau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Palau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25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Philippines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Philippines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26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Romania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Roumanie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27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Samoa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Samoa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28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Senegal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Sénégal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EB2C14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29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South </w:t>
            </w: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Africa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Afrique du Sud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Sudan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Soudan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31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Sweden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Suède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EB2C14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32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Syrian</w:t>
            </w:r>
            <w:proofErr w:type="spellEnd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Arab</w:t>
            </w:r>
            <w:proofErr w:type="spellEnd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Republic</w:t>
            </w:r>
            <w:proofErr w:type="spellEnd"/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>République arabe syrienne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33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Togo</w:t>
            </w:r>
            <w:r w:rsidR="00917D13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B769F9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Togo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34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Tuvalu</w:t>
            </w:r>
            <w:r w:rsidR="00B769F9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B769F9" w:rsidRPr="009116D8">
              <w:rPr>
                <w:rFonts w:ascii="Calibri" w:hAnsi="Calibri"/>
                <w:sz w:val="22"/>
                <w:szCs w:val="22"/>
                <w:lang w:val="fr-FR"/>
              </w:rPr>
              <w:t>Tuvalu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EB2C14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35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United </w:t>
            </w: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Arab</w:t>
            </w:r>
            <w:proofErr w:type="spellEnd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Emirate</w:t>
            </w:r>
            <w:r w:rsidR="00A470AB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s</w:t>
            </w:r>
            <w:proofErr w:type="spellEnd"/>
            <w:r w:rsidR="006C7D30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="00B769F9" w:rsidRPr="009116D8">
              <w:rPr>
                <w:rFonts w:ascii="Calibri" w:hAnsi="Calibri"/>
                <w:sz w:val="22"/>
                <w:szCs w:val="22"/>
                <w:lang w:val="fr-FR"/>
              </w:rPr>
              <w:t>- Émirats Arabes Unis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36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United </w:t>
            </w: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Kingdom</w:t>
            </w:r>
            <w:proofErr w:type="spellEnd"/>
            <w:r w:rsidR="00B769F9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B769F9" w:rsidRPr="009116D8">
              <w:rPr>
                <w:rFonts w:ascii="Calibri" w:hAnsi="Calibri"/>
                <w:sz w:val="22"/>
                <w:szCs w:val="22"/>
                <w:lang w:val="fr-FR"/>
              </w:rPr>
              <w:t>Royaume-Uni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37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United States of </w:t>
            </w: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America</w:t>
            </w:r>
            <w:proofErr w:type="spellEnd"/>
            <w:r w:rsidR="00B769F9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 xml:space="preserve"> - </w:t>
            </w:r>
            <w:r w:rsidR="00B769F9" w:rsidRPr="009116D8">
              <w:rPr>
                <w:rFonts w:ascii="Calibri" w:hAnsi="Calibri"/>
                <w:sz w:val="22"/>
                <w:szCs w:val="22"/>
                <w:lang w:val="fr-FR"/>
              </w:rPr>
              <w:t>États-Unis d</w:t>
            </w:r>
            <w:r w:rsidR="009116D8">
              <w:rPr>
                <w:rFonts w:ascii="Calibri" w:hAnsi="Calibri"/>
                <w:sz w:val="22"/>
                <w:szCs w:val="22"/>
                <w:lang w:val="fr-FR"/>
              </w:rPr>
              <w:t>’</w:t>
            </w:r>
            <w:r w:rsidR="00B769F9" w:rsidRPr="009116D8">
              <w:rPr>
                <w:rFonts w:ascii="Calibri" w:hAnsi="Calibri"/>
                <w:sz w:val="22"/>
                <w:szCs w:val="22"/>
                <w:lang w:val="fr-FR"/>
              </w:rPr>
              <w:t>Amérique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38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Vanuat</w:t>
            </w:r>
            <w:r w:rsidR="00380B18"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u</w:t>
            </w:r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</w:t>
            </w:r>
            <w:r w:rsidR="00B769F9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Vanuatu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9116D8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sz w:val="22"/>
                <w:szCs w:val="22"/>
                <w:lang w:val="fr-FR"/>
              </w:rPr>
              <w:t>39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sz w:val="24"/>
                <w:lang w:val="fr-FR"/>
              </w:rPr>
            </w:pPr>
            <w:proofErr w:type="spellStart"/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Yemen</w:t>
            </w:r>
            <w:proofErr w:type="spellEnd"/>
            <w:r w:rsidR="00917D13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-</w:t>
            </w:r>
            <w:r w:rsidR="00B769F9" w:rsidRPr="009116D8">
              <w:rPr>
                <w:rFonts w:ascii="Calibri" w:hAnsi="Calibri"/>
                <w:sz w:val="22"/>
                <w:szCs w:val="22"/>
                <w:lang w:val="fr-FR"/>
              </w:rPr>
              <w:t xml:space="preserve"> Yémen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30315A" w:rsidRPr="00EB2C14" w:rsidTr="0030315A">
        <w:trPr>
          <w:trHeight w:val="288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39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B769F9" w:rsidP="00E2418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TOTAL À PARTAGER ENTRE LES PARTIES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315A" w:rsidRPr="009116D8" w:rsidRDefault="0030315A" w:rsidP="0030315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9116D8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 </w:t>
            </w:r>
          </w:p>
        </w:tc>
      </w:tr>
    </w:tbl>
    <w:p w:rsidR="006F4410" w:rsidRPr="009116D8" w:rsidRDefault="006F4410" w:rsidP="008709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  <w:sectPr w:rsidR="006F4410" w:rsidRPr="009116D8" w:rsidSect="006F4410">
          <w:headerReference w:type="first" r:id="rId24"/>
          <w:endnotePr>
            <w:numFmt w:val="decimal"/>
          </w:endnotePr>
          <w:pgSz w:w="11905" w:h="16837" w:code="9"/>
          <w:pgMar w:top="990" w:right="1411" w:bottom="990" w:left="1411" w:header="504" w:footer="504" w:gutter="0"/>
          <w:cols w:space="720"/>
          <w:noEndnote/>
          <w:titlePg/>
          <w:docGrid w:linePitch="272"/>
        </w:sectPr>
      </w:pPr>
    </w:p>
    <w:p w:rsidR="00882FF6" w:rsidRPr="009116D8" w:rsidRDefault="00917D13" w:rsidP="002033B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Projet de </w:t>
      </w:r>
      <w:r w:rsidR="002033B0"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mandat</w:t>
      </w:r>
      <w:r w:rsidR="00882FF6"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pour l</w:t>
      </w:r>
      <w:r w:rsid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administration du Fonds d</w:t>
      </w:r>
      <w:r w:rsid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affectation spéciale </w:t>
      </w:r>
    </w:p>
    <w:p w:rsidR="002033B0" w:rsidRPr="009116D8" w:rsidRDefault="00917D13" w:rsidP="002033B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gramStart"/>
      <w:r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pour</w:t>
      </w:r>
      <w:proofErr w:type="gramEnd"/>
      <w:r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le </w:t>
      </w:r>
      <w:r w:rsidR="002033B0"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Mémorandum d</w:t>
      </w:r>
      <w:r w:rsid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’</w:t>
      </w:r>
      <w:r w:rsidR="002033B0"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>Entente</w:t>
      </w:r>
      <w:r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sur la conservation des requins migrateurs (2013-2016)</w:t>
      </w:r>
      <w:r w:rsidR="002033B0"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87093E" w:rsidRPr="009116D8" w:rsidRDefault="0087093E" w:rsidP="0087093E">
      <w:pPr>
        <w:rPr>
          <w:sz w:val="24"/>
          <w:lang w:val="fr-FR"/>
        </w:rPr>
      </w:pPr>
    </w:p>
    <w:p w:rsidR="00935619" w:rsidRPr="009116D8" w:rsidRDefault="00935619" w:rsidP="0087093E">
      <w:pPr>
        <w:rPr>
          <w:sz w:val="24"/>
          <w:lang w:val="fr-FR"/>
        </w:rPr>
      </w:pPr>
    </w:p>
    <w:p w:rsidR="00935619" w:rsidRPr="009116D8" w:rsidRDefault="00935619" w:rsidP="0087093E">
      <w:pPr>
        <w:rPr>
          <w:sz w:val="24"/>
          <w:lang w:val="fr-FR"/>
        </w:rPr>
      </w:pPr>
    </w:p>
    <w:p w:rsidR="00500A7E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pour le </w:t>
      </w:r>
      <w:r w:rsidR="002033B0" w:rsidRPr="009116D8">
        <w:rPr>
          <w:rFonts w:ascii="Times New Roman" w:hAnsi="Times New Roman" w:cs="Times New Roman"/>
          <w:bCs/>
          <w:sz w:val="24"/>
          <w:szCs w:val="24"/>
          <w:lang w:val="fr-FR"/>
        </w:rPr>
        <w:t>Mémorandum d</w:t>
      </w:r>
      <w:r w:rsidR="009116D8">
        <w:rPr>
          <w:rFonts w:ascii="Times New Roman" w:hAnsi="Times New Roman" w:cs="Times New Roman"/>
          <w:bCs/>
          <w:sz w:val="24"/>
          <w:szCs w:val="24"/>
          <w:lang w:val="fr-FR"/>
        </w:rPr>
        <w:t>’</w:t>
      </w:r>
      <w:r w:rsidR="002033B0" w:rsidRPr="009116D8">
        <w:rPr>
          <w:rFonts w:ascii="Times New Roman" w:hAnsi="Times New Roman" w:cs="Times New Roman"/>
          <w:bCs/>
          <w:sz w:val="24"/>
          <w:szCs w:val="24"/>
          <w:lang w:val="fr-FR"/>
        </w:rPr>
        <w:t>Entente</w:t>
      </w:r>
      <w:r w:rsidR="002033B0" w:rsidRPr="009116D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2033B0" w:rsidRPr="009116D8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="002033B0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) sur la conservation des requins migrateurs (ci-après </w:t>
      </w:r>
      <w:r w:rsidR="00882FF6" w:rsidRPr="009116D8">
        <w:rPr>
          <w:rFonts w:ascii="Times New Roman" w:hAnsi="Times New Roman" w:cs="Times New Roman"/>
          <w:sz w:val="24"/>
          <w:szCs w:val="24"/>
          <w:lang w:val="fr-FR"/>
        </w:rPr>
        <w:t>désigné par « 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affectation spéciale</w:t>
      </w:r>
      <w:r w:rsidR="00342FC0" w:rsidRPr="009116D8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) est prolongé de trois ans afin de 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soutenir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financi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èrement les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objectifs du </w:t>
      </w:r>
      <w:proofErr w:type="spellStart"/>
      <w:r w:rsidR="002033B0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2033B0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 présent mandat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en vigueur du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1</w:t>
      </w:r>
      <w:r w:rsidR="00917D13" w:rsidRPr="009116D8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j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>anvier 2016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31 décembre 2018.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exercice financier est de trois années civiles à compter du 1</w:t>
      </w:r>
      <w:r w:rsidRPr="009116D8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002033B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j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anv</w:t>
      </w:r>
      <w:r w:rsidR="002033B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ier 2016 et 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jusqu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au</w:t>
      </w:r>
      <w:r w:rsidR="002033B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31 d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écembre 2018, sous réserve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approbation de 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Assemblée des Nations Unies pour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environnement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Fonds 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est administré par le Directeur exécutif du Programme des Nations Unies pour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E2AB2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environnement (PNUE). 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administration du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est régie par le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Règlement financier et 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les R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ègles de gestion financière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Organisation des Nations Unies, </w:t>
      </w:r>
      <w:r w:rsidR="00882FF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par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Statut et</w:t>
      </w:r>
      <w:r w:rsidR="006C7D3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116D8" w:rsidRPr="009116D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èglement du personnel 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Organisation des Nations Unies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882FF6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par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autres politiques ou procédures administratives promulguées par le Secrétaire général des Nations Unies.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0B20EE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>ressources du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ne 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peuvent être 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engagées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que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i elles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sont couvert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 par les recettes nécessaires. 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Aucun engagement ne sera pris avant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encaissement des contributions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Conformément aux règles des Nations Unies, le PNUE déduit d</w:t>
      </w:r>
      <w:r w:rsidR="005E2AB2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recettes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des frais administratifs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correspondants à 13 %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dépenses imputées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aux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</w:t>
      </w:r>
      <w:r w:rsidR="005E2AB2" w:rsidRPr="009116D8">
        <w:rPr>
          <w:rFonts w:ascii="Times New Roman" w:hAnsi="Times New Roman" w:cs="Times New Roman"/>
          <w:sz w:val="24"/>
          <w:szCs w:val="24"/>
          <w:lang w:val="fr-FR"/>
        </w:rPr>
        <w:t>pour les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activités financées </w:t>
      </w:r>
      <w:r w:rsidR="004B641A" w:rsidRPr="009116D8">
        <w:rPr>
          <w:rFonts w:ascii="Times New Roman" w:hAnsi="Times New Roman" w:cs="Times New Roman"/>
          <w:sz w:val="24"/>
          <w:szCs w:val="24"/>
          <w:lang w:val="fr-FR"/>
        </w:rPr>
        <w:t>en vertu de celui-ci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87093E">
      <w:pPr>
        <w:pStyle w:val="ListParagraph"/>
        <w:ind w:left="0"/>
        <w:rPr>
          <w:sz w:val="24"/>
          <w:lang w:val="fr-FR"/>
        </w:rPr>
      </w:pPr>
    </w:p>
    <w:p w:rsidR="00500A7E" w:rsidRPr="009116D8" w:rsidRDefault="00917D13" w:rsidP="00500A7E">
      <w:pPr>
        <w:pStyle w:val="NoSpacing"/>
        <w:numPr>
          <w:ilvl w:val="0"/>
          <w:numId w:val="33"/>
        </w:numPr>
        <w:ind w:left="0" w:firstLine="0"/>
        <w:jc w:val="both"/>
        <w:rPr>
          <w:sz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est soumis à </w:t>
      </w:r>
      <w:r w:rsidR="005E2AB2" w:rsidRPr="009116D8">
        <w:rPr>
          <w:rFonts w:ascii="Times New Roman" w:hAnsi="Times New Roman" w:cs="Times New Roman"/>
          <w:sz w:val="24"/>
          <w:szCs w:val="24"/>
          <w:lang w:val="fr-FR"/>
        </w:rPr>
        <w:t>un audit du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Comité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des commissaires aux comptes des Nations Unies.</w:t>
      </w:r>
    </w:p>
    <w:p w:rsidR="0087093E" w:rsidRPr="009116D8" w:rsidRDefault="0087093E" w:rsidP="00935619">
      <w:pPr>
        <w:pStyle w:val="ListParagraph"/>
        <w:ind w:left="0"/>
        <w:rPr>
          <w:sz w:val="24"/>
          <w:lang w:val="fr-FR"/>
        </w:rPr>
      </w:pPr>
    </w:p>
    <w:p w:rsidR="00500A7E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Les ressources financières du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pour 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la période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2016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2018 </w:t>
      </w:r>
      <w:r w:rsidR="009116D8" w:rsidRPr="009116D8">
        <w:rPr>
          <w:rFonts w:ascii="Times New Roman" w:hAnsi="Times New Roman" w:cs="Times New Roman"/>
          <w:sz w:val="24"/>
          <w:szCs w:val="24"/>
          <w:lang w:val="fr-FR"/>
        </w:rPr>
        <w:t>proviennent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contributions volontaires des </w:t>
      </w:r>
      <w:r w:rsidR="005E2AB2" w:rsidRPr="009116D8">
        <w:rPr>
          <w:rFonts w:ascii="Times New Roman" w:hAnsi="Times New Roman" w:cs="Times New Roman"/>
          <w:sz w:val="24"/>
          <w:szCs w:val="24"/>
          <w:lang w:val="fr-FR"/>
        </w:rPr>
        <w:t>États s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ignataires </w:t>
      </w:r>
      <w:r w:rsidR="005E2AB2" w:rsidRPr="009116D8">
        <w:rPr>
          <w:rFonts w:ascii="Times New Roman" w:hAnsi="Times New Roman" w:cs="Times New Roman"/>
          <w:sz w:val="24"/>
          <w:szCs w:val="24"/>
          <w:lang w:val="fr-FR"/>
        </w:rPr>
        <w:t>et non 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ignataires du </w:t>
      </w:r>
      <w:proofErr w:type="spellStart"/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>,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autres organisations gouvernementales, intergouvernementales et non gouvernementales</w:t>
      </w:r>
      <w:r w:rsidR="005E2AB2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ainsi que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autres sources.</w:t>
      </w:r>
    </w:p>
    <w:p w:rsidR="00500A7E" w:rsidRPr="009116D8" w:rsidRDefault="00500A7E" w:rsidP="00500A7E">
      <w:pPr>
        <w:pStyle w:val="ListParagraph"/>
        <w:rPr>
          <w:sz w:val="24"/>
          <w:lang w:val="fr-FR"/>
        </w:rPr>
      </w:pPr>
    </w:p>
    <w:p w:rsidR="00500A7E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ar souci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commodité 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>pour l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>ignataires</w:t>
      </w:r>
      <w:r w:rsidR="00C4121E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dès que possible après le premier jour de 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année,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le Directeur exécutif du PNUE</w:t>
      </w:r>
      <w:r w:rsidR="00404695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>notifie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aux Signataires 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montant de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>eur contribution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542BE" w:rsidRPr="009116D8">
        <w:rPr>
          <w:rFonts w:ascii="Times New Roman" w:hAnsi="Times New Roman" w:cs="Times New Roman"/>
          <w:sz w:val="24"/>
          <w:szCs w:val="24"/>
          <w:lang w:val="fr-FR"/>
        </w:rPr>
        <w:t>pour chaque année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>exercice financier.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917D13" w:rsidP="00500A7E">
      <w:pPr>
        <w:pStyle w:val="NoSpacing"/>
        <w:numPr>
          <w:ilvl w:val="0"/>
          <w:numId w:val="33"/>
        </w:numPr>
        <w:ind w:left="0" w:firstLine="0"/>
        <w:jc w:val="both"/>
        <w:rPr>
          <w:sz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Les contributions 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>perçues par 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affectation spéciale qui ne sont pas immédiatement </w:t>
      </w:r>
      <w:r w:rsidR="002E4092" w:rsidRPr="009116D8">
        <w:rPr>
          <w:rFonts w:ascii="Times New Roman" w:hAnsi="Times New Roman" w:cs="Times New Roman"/>
          <w:sz w:val="24"/>
          <w:szCs w:val="24"/>
          <w:lang w:val="fr-FR"/>
        </w:rPr>
        <w:t>utilisées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sont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investi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à la discrétion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Organisation des Nations Unies, et tout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recette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porté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au crédit du Fonds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affectation spéciale.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C4121E" w:rsidP="00500A7E">
      <w:pPr>
        <w:pStyle w:val="NoSpacing"/>
        <w:numPr>
          <w:ilvl w:val="0"/>
          <w:numId w:val="33"/>
        </w:numPr>
        <w:ind w:left="0" w:firstLine="0"/>
        <w:jc w:val="both"/>
        <w:rPr>
          <w:sz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Les prévisions budgétaires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>, comprenant les recettes et dépenses pour les trois années civiles constitu</w:t>
      </w:r>
      <w:r w:rsidR="007A0ECF" w:rsidRPr="009116D8">
        <w:rPr>
          <w:rFonts w:ascii="Times New Roman" w:hAnsi="Times New Roman" w:cs="Times New Roman"/>
          <w:sz w:val="24"/>
          <w:szCs w:val="24"/>
          <w:lang w:val="fr-FR"/>
        </w:rPr>
        <w:t>ant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7A0EC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exercice financier, 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>sont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soumis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à la </w:t>
      </w:r>
      <w:r w:rsidR="007A0EC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Réunion 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 w:rsidR="000B20EE" w:rsidRPr="009116D8">
        <w:rPr>
          <w:rFonts w:ascii="Times New Roman" w:hAnsi="Times New Roman" w:cs="Times New Roman"/>
          <w:sz w:val="24"/>
          <w:szCs w:val="24"/>
          <w:lang w:val="fr-FR"/>
        </w:rPr>
        <w:t>Signataires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7D13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prévisions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budgétaires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pour cha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>que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>année civile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exercice 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financier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sont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ventilées selon les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ligne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budgétaire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et accompagnées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de toute information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</w:t>
      </w:r>
      <w:r w:rsidR="00A542BE" w:rsidRPr="009116D8">
        <w:rPr>
          <w:rFonts w:ascii="Times New Roman" w:hAnsi="Times New Roman" w:cs="Times New Roman"/>
          <w:sz w:val="24"/>
          <w:szCs w:val="24"/>
          <w:lang w:val="fr-FR"/>
        </w:rPr>
        <w:t>ouva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nt être 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>demandée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A0ECF" w:rsidRPr="009116D8">
        <w:rPr>
          <w:rFonts w:ascii="Times New Roman" w:hAnsi="Times New Roman" w:cs="Times New Roman"/>
          <w:sz w:val="24"/>
          <w:szCs w:val="24"/>
          <w:lang w:val="fr-FR"/>
        </w:rPr>
        <w:t>contributeurs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ou en leur nom, ainsi que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toute autre information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jugée utile ou souhaitable par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Directeur ex</w:t>
      </w:r>
      <w:r w:rsidR="007A0ECF" w:rsidRPr="009116D8">
        <w:rPr>
          <w:rFonts w:ascii="Times New Roman" w:hAnsi="Times New Roman" w:cs="Times New Roman"/>
          <w:sz w:val="24"/>
          <w:szCs w:val="24"/>
          <w:lang w:val="fr-FR"/>
        </w:rPr>
        <w:t>écutif du PNUE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85A2C" w:rsidRPr="009116D8" w:rsidRDefault="00385A2C" w:rsidP="00385A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7D13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a proposition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budget </w:t>
      </w:r>
      <w:r w:rsidR="00554DEA" w:rsidRPr="009116D8">
        <w:rPr>
          <w:rFonts w:ascii="Times New Roman" w:hAnsi="Times New Roman" w:cs="Times New Roman"/>
          <w:sz w:val="24"/>
          <w:szCs w:val="24"/>
          <w:lang w:val="fr-FR"/>
        </w:rPr>
        <w:t>accompagnée de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tout</w:t>
      </w:r>
      <w:r w:rsidR="007A0ECF" w:rsidRPr="009116D8">
        <w:rPr>
          <w:rFonts w:ascii="Times New Roman" w:hAnsi="Times New Roman" w:cs="Times New Roman"/>
          <w:sz w:val="24"/>
          <w:szCs w:val="24"/>
          <w:lang w:val="fr-FR"/>
        </w:rPr>
        <w:t>es les informations nécessaires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mis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à disposition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Signataires </w:t>
      </w:r>
      <w:r w:rsidR="007A0EC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par le Secrétariat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au moins 30 jours avant la date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fixée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pour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ouverture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la Réunion des Signataires à laquelle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elle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doi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être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examinée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7D13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 budget 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adopté par consensus des Signataires présents à la Réunion des Signataires.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7D13" w:rsidRPr="009116D8" w:rsidRDefault="00A542BE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Si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Directeur exécutif du PNUE prévoit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un éventuel manque de</w:t>
      </w:r>
      <w:r w:rsidR="00230650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ressources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>au cours de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>exercice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financier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consulte le Secrétariat, qui demande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avis du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Président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et/ou du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>Vice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Président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au sujet des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priorités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établir 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>en matière de dépenses.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7D13" w:rsidRPr="009116D8" w:rsidRDefault="00917D13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la demande du Secrétariat du </w:t>
      </w:r>
      <w:proofErr w:type="spellStart"/>
      <w:r w:rsidR="00A542BE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après consultation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du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Président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et du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>Vice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Président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la Réunion des Signataires, le Directeur exécutif du PNUE</w:t>
      </w:r>
      <w:r w:rsidR="00A542B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>peut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opérer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des transferts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une ligne budgétaire à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une autre,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dans les limites du Règlement financier et des Règles de gestion financière des Nations Unies.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la fin de la première et </w:t>
      </w:r>
      <w:r w:rsidR="00A542BE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la deuxième année civile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exercice financier, le Directeur exécutif du PNUE 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>peut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transférer tout 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solde de crédit non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engagé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5687F" w:rsidRPr="009116D8">
        <w:rPr>
          <w:rFonts w:ascii="Times New Roman" w:hAnsi="Times New Roman" w:cs="Times New Roman"/>
          <w:sz w:val="24"/>
          <w:szCs w:val="24"/>
          <w:lang w:val="fr-FR"/>
        </w:rPr>
        <w:t>vers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deuxième </w:t>
      </w:r>
      <w:r w:rsidR="00A5687F" w:rsidRPr="009116D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la troisième année civile, respectivement,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à condition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ne pas dépasser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le budget total approuvé par les Parties, 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à moins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que le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Président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A5687F" w:rsidRPr="009116D8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ou 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A5687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>Vice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Président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de la Réunion des Signataires</w:t>
      </w:r>
      <w:r w:rsidR="00D660EF" w:rsidRPr="009116D8">
        <w:rPr>
          <w:rFonts w:ascii="Times New Roman" w:hAnsi="Times New Roman" w:cs="Arial"/>
          <w:szCs w:val="24"/>
          <w:lang w:val="fr-FR"/>
        </w:rPr>
        <w:t xml:space="preserve">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aient expressément approuvé cette opération par écrit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64856" w:rsidRPr="009116D8" w:rsidRDefault="00917D13" w:rsidP="00364856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À la fin de chaque année civile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exercice financier</w:t>
      </w:r>
      <w:r w:rsidR="00A5687F" w:rsidRPr="009116D8">
        <w:rPr>
          <w:rStyle w:val="FootnoteReference"/>
          <w:rFonts w:ascii="Times New Roman" w:hAnsi="Times New Roman"/>
          <w:sz w:val="24"/>
          <w:szCs w:val="24"/>
          <w:vertAlign w:val="superscript"/>
          <w:lang w:val="fr-FR"/>
        </w:rPr>
        <w:footnoteReference w:id="2"/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le Directeur exécutif du PNUE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soumet les comptes de fin d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année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par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intermédiaire du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Secrétariat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du </w:t>
      </w:r>
      <w:proofErr w:type="spellStart"/>
      <w:r w:rsidR="00A5687F"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. Le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Directeur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exécutif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soumet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également, dès que possible, les comptes 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>audités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de l</w:t>
      </w:r>
      <w:r w:rsidR="009116D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exercice financier. Ces comptes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comprennent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85A2C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pour chaque ligne budgétaire, 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tous les détails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dépenses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effectuées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par rapport aux </w:t>
      </w:r>
      <w:r w:rsidR="00D660EF" w:rsidRPr="009116D8">
        <w:rPr>
          <w:rFonts w:ascii="Times New Roman" w:hAnsi="Times New Roman" w:cs="Times New Roman"/>
          <w:sz w:val="24"/>
          <w:szCs w:val="24"/>
          <w:lang w:val="fr-FR"/>
        </w:rPr>
        <w:t>provisions initiales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3648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BB5692" w:rsidP="0087093E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>es contributions extrabudgétaires peuvent être accepté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917D13"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s à des fins compatibles avec les objectifs du </w:t>
      </w:r>
      <w:proofErr w:type="spellStart"/>
      <w:r w:rsidRPr="009116D8">
        <w:rPr>
          <w:rFonts w:ascii="Times New Roman" w:hAnsi="Times New Roman" w:cs="Times New Roman"/>
          <w:sz w:val="24"/>
          <w:szCs w:val="24"/>
          <w:lang w:val="fr-FR"/>
        </w:rPr>
        <w:t>MdE</w:t>
      </w:r>
      <w:proofErr w:type="spellEnd"/>
      <w:r w:rsid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7093E" w:rsidRPr="009116D8" w:rsidRDefault="0087093E" w:rsidP="0087093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00A7E" w:rsidRPr="009116D8" w:rsidRDefault="00917D13" w:rsidP="006C7D30">
      <w:pPr>
        <w:pStyle w:val="NoSpacing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Les contributions extrabudgétaires </w:t>
      </w:r>
      <w:r w:rsidR="005C455D" w:rsidRPr="009116D8">
        <w:rPr>
          <w:rFonts w:ascii="Times New Roman" w:hAnsi="Times New Roman" w:cs="Times New Roman"/>
          <w:sz w:val="24"/>
          <w:szCs w:val="24"/>
          <w:lang w:val="fr-FR"/>
        </w:rPr>
        <w:t>seront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5692" w:rsidRPr="009116D8">
        <w:rPr>
          <w:rFonts w:ascii="Times New Roman" w:hAnsi="Times New Roman" w:cs="Times New Roman"/>
          <w:sz w:val="24"/>
          <w:szCs w:val="24"/>
          <w:lang w:val="fr-FR"/>
        </w:rPr>
        <w:t>utilisées</w:t>
      </w:r>
      <w:r w:rsidRPr="009116D8">
        <w:rPr>
          <w:rFonts w:ascii="Times New Roman" w:hAnsi="Times New Roman" w:cs="Times New Roman"/>
          <w:sz w:val="24"/>
          <w:szCs w:val="24"/>
          <w:lang w:val="fr-FR"/>
        </w:rPr>
        <w:t xml:space="preserve"> conformément aux modalités convenues entre le donateur et le Secrétariat</w:t>
      </w:r>
      <w:r w:rsidR="00BB5692" w:rsidRPr="009116D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sectPr w:rsidR="00500A7E" w:rsidRPr="009116D8" w:rsidSect="006F4410">
      <w:headerReference w:type="default" r:id="rId25"/>
      <w:headerReference w:type="first" r:id="rId26"/>
      <w:endnotePr>
        <w:numFmt w:val="decimal"/>
      </w:endnotePr>
      <w:pgSz w:w="11905" w:h="16837" w:code="9"/>
      <w:pgMar w:top="990" w:right="1411" w:bottom="990" w:left="1411" w:header="504" w:footer="50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14" w:rsidRDefault="00EB2C14">
      <w:r>
        <w:separator/>
      </w:r>
    </w:p>
  </w:endnote>
  <w:endnote w:type="continuationSeparator" w:id="0">
    <w:p w:rsidR="00EB2C14" w:rsidRDefault="00E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Default="00EB2C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293">
      <w:rPr>
        <w:rStyle w:val="PageNumber"/>
        <w:noProof/>
      </w:rPr>
      <w:t>6</w:t>
    </w:r>
    <w:r>
      <w:rPr>
        <w:rStyle w:val="PageNumber"/>
      </w:rPr>
      <w:fldChar w:fldCharType="end"/>
    </w:r>
  </w:p>
  <w:p w:rsidR="00EB2C14" w:rsidRDefault="00EB2C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Default="00EB2C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293">
      <w:rPr>
        <w:noProof/>
      </w:rPr>
      <w:t>13</w:t>
    </w:r>
    <w:r>
      <w:rPr>
        <w:noProof/>
      </w:rPr>
      <w:fldChar w:fldCharType="end"/>
    </w:r>
  </w:p>
  <w:p w:rsidR="00EB2C14" w:rsidRDefault="00EB2C14" w:rsidP="00A606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727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C14" w:rsidRDefault="00EB2C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29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B2C14" w:rsidRPr="00496F8D" w:rsidRDefault="00EB2C14" w:rsidP="00496F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14" w:rsidRDefault="00EB2C14">
      <w:r>
        <w:separator/>
      </w:r>
    </w:p>
  </w:footnote>
  <w:footnote w:type="continuationSeparator" w:id="0">
    <w:p w:rsidR="00EB2C14" w:rsidRDefault="00EB2C14">
      <w:r>
        <w:continuationSeparator/>
      </w:r>
    </w:p>
  </w:footnote>
  <w:footnote w:id="1">
    <w:p w:rsidR="00EB2C14" w:rsidRPr="0093674B" w:rsidRDefault="00EB2C14" w:rsidP="0093674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500A7E">
        <w:rPr>
          <w:lang w:val="fr-FR"/>
        </w:rPr>
        <w:t xml:space="preserve"> Le Secrétariat inclur</w:t>
      </w:r>
      <w:r>
        <w:rPr>
          <w:lang w:val="fr-FR"/>
        </w:rPr>
        <w:t>a</w:t>
      </w:r>
      <w:r w:rsidRPr="00500A7E">
        <w:rPr>
          <w:lang w:val="fr-FR"/>
        </w:rPr>
        <w:t xml:space="preserve"> tou</w:t>
      </w:r>
      <w:r>
        <w:rPr>
          <w:lang w:val="fr-FR"/>
        </w:rPr>
        <w:t>tes</w:t>
      </w:r>
      <w:r w:rsidRPr="00500A7E">
        <w:rPr>
          <w:lang w:val="fr-FR"/>
        </w:rPr>
        <w:t xml:space="preserve"> les </w:t>
      </w:r>
      <w:r>
        <w:rPr>
          <w:lang w:val="fr-FR"/>
        </w:rPr>
        <w:t>dépenses</w:t>
      </w:r>
      <w:r w:rsidRPr="00500A7E">
        <w:rPr>
          <w:lang w:val="fr-FR"/>
        </w:rPr>
        <w:t xml:space="preserve"> lié</w:t>
      </w:r>
      <w:r>
        <w:rPr>
          <w:lang w:val="fr-FR"/>
        </w:rPr>
        <w:t>e</w:t>
      </w:r>
      <w:r w:rsidRPr="00500A7E">
        <w:rPr>
          <w:lang w:val="fr-FR"/>
        </w:rPr>
        <w:t xml:space="preserve">s </w:t>
      </w:r>
      <w:r>
        <w:rPr>
          <w:lang w:val="fr-FR"/>
        </w:rPr>
        <w:t>aux</w:t>
      </w:r>
      <w:r w:rsidRPr="00500A7E">
        <w:rPr>
          <w:lang w:val="fr-FR"/>
        </w:rPr>
        <w:t xml:space="preserve"> réunion</w:t>
      </w:r>
      <w:r>
        <w:rPr>
          <w:lang w:val="fr-FR"/>
        </w:rPr>
        <w:t>s</w:t>
      </w:r>
      <w:r w:rsidRPr="00500A7E">
        <w:rPr>
          <w:lang w:val="fr-FR"/>
        </w:rPr>
        <w:t xml:space="preserve"> dans son rapport sur les dépenses pour 2015.</w:t>
      </w:r>
      <w:r w:rsidRPr="0093674B">
        <w:rPr>
          <w:lang w:val="fr-FR"/>
        </w:rPr>
        <w:t xml:space="preserve"> </w:t>
      </w:r>
    </w:p>
  </w:footnote>
  <w:footnote w:id="2">
    <w:p w:rsidR="00EB2C14" w:rsidRPr="006C7D30" w:rsidRDefault="00EB2C14" w:rsidP="006C7D30">
      <w:pPr>
        <w:pStyle w:val="FootnoteText"/>
        <w:tabs>
          <w:tab w:val="left" w:pos="284"/>
        </w:tabs>
        <w:ind w:left="284" w:hanging="284"/>
        <w:jc w:val="both"/>
        <w:rPr>
          <w:color w:val="C45911" w:themeColor="accent2" w:themeShade="BF"/>
          <w:lang w:val="fr-FR"/>
        </w:rPr>
      </w:pPr>
      <w:r>
        <w:rPr>
          <w:rStyle w:val="FootnoteReference"/>
          <w:sz w:val="18"/>
          <w:szCs w:val="18"/>
          <w:vertAlign w:val="superscript"/>
        </w:rPr>
        <w:footnoteRef/>
      </w:r>
      <w:r w:rsidRPr="00500A7E">
        <w:rPr>
          <w:sz w:val="18"/>
          <w:szCs w:val="18"/>
          <w:lang w:val="fr-FR"/>
        </w:rPr>
        <w:t xml:space="preserve"> </w:t>
      </w:r>
      <w:r w:rsidRPr="00500A7E"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>L’année civile du</w:t>
      </w:r>
      <w:r w:rsidRPr="00500A7E">
        <w:rPr>
          <w:sz w:val="18"/>
          <w:szCs w:val="18"/>
          <w:lang w:val="fr-FR"/>
        </w:rPr>
        <w:t xml:space="preserve"> 1</w:t>
      </w:r>
      <w:r w:rsidRPr="00BB5692">
        <w:rPr>
          <w:sz w:val="18"/>
          <w:szCs w:val="18"/>
          <w:vertAlign w:val="superscript"/>
          <w:lang w:val="fr-FR"/>
        </w:rPr>
        <w:t>er</w:t>
      </w:r>
      <w:r w:rsidRPr="00500A7E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>janvier à 31 d</w:t>
      </w:r>
      <w:r w:rsidRPr="00500A7E">
        <w:rPr>
          <w:sz w:val="18"/>
          <w:szCs w:val="18"/>
          <w:lang w:val="fr-FR"/>
        </w:rPr>
        <w:t xml:space="preserve">écembre est </w:t>
      </w:r>
      <w:r>
        <w:rPr>
          <w:sz w:val="18"/>
          <w:szCs w:val="18"/>
          <w:lang w:val="fr-FR"/>
        </w:rPr>
        <w:t>l’année comptable et financière</w:t>
      </w:r>
      <w:r w:rsidRPr="00500A7E">
        <w:rPr>
          <w:sz w:val="18"/>
          <w:szCs w:val="18"/>
          <w:lang w:val="fr-FR"/>
        </w:rPr>
        <w:t xml:space="preserve"> de l</w:t>
      </w:r>
      <w:r>
        <w:rPr>
          <w:sz w:val="18"/>
          <w:szCs w:val="18"/>
          <w:lang w:val="fr-FR"/>
        </w:rPr>
        <w:t>’</w:t>
      </w:r>
      <w:r w:rsidRPr="00500A7E">
        <w:rPr>
          <w:sz w:val="18"/>
          <w:szCs w:val="18"/>
          <w:lang w:val="fr-FR"/>
        </w:rPr>
        <w:t xml:space="preserve">exercice, mais la date officielle de </w:t>
      </w:r>
      <w:r>
        <w:rPr>
          <w:sz w:val="18"/>
          <w:szCs w:val="18"/>
          <w:lang w:val="fr-FR"/>
        </w:rPr>
        <w:t>clôture de comptes est le 31 m</w:t>
      </w:r>
      <w:r w:rsidRPr="00500A7E">
        <w:rPr>
          <w:sz w:val="18"/>
          <w:szCs w:val="18"/>
          <w:lang w:val="fr-FR"/>
        </w:rPr>
        <w:t xml:space="preserve">ars de </w:t>
      </w:r>
      <w:r>
        <w:rPr>
          <w:sz w:val="18"/>
          <w:szCs w:val="18"/>
          <w:lang w:val="fr-FR"/>
        </w:rPr>
        <w:t>l’année suivante. Ainsi, le 31 m</w:t>
      </w:r>
      <w:r w:rsidRPr="00500A7E">
        <w:rPr>
          <w:sz w:val="18"/>
          <w:szCs w:val="18"/>
          <w:lang w:val="fr-FR"/>
        </w:rPr>
        <w:t>ars</w:t>
      </w:r>
      <w:r>
        <w:rPr>
          <w:sz w:val="18"/>
          <w:szCs w:val="18"/>
          <w:lang w:val="fr-FR"/>
        </w:rPr>
        <w:t>,</w:t>
      </w:r>
      <w:r w:rsidRPr="00500A7E">
        <w:rPr>
          <w:sz w:val="18"/>
          <w:szCs w:val="18"/>
          <w:lang w:val="fr-FR"/>
        </w:rPr>
        <w:t xml:space="preserve"> les comptes de l</w:t>
      </w:r>
      <w:r>
        <w:rPr>
          <w:sz w:val="18"/>
          <w:szCs w:val="18"/>
          <w:lang w:val="fr-FR"/>
        </w:rPr>
        <w:t>’</w:t>
      </w:r>
      <w:r w:rsidRPr="00500A7E">
        <w:rPr>
          <w:sz w:val="18"/>
          <w:szCs w:val="18"/>
          <w:lang w:val="fr-FR"/>
        </w:rPr>
        <w:t xml:space="preserve">année précédente doivent être </w:t>
      </w:r>
      <w:r>
        <w:rPr>
          <w:sz w:val="18"/>
          <w:szCs w:val="18"/>
          <w:lang w:val="fr-FR"/>
        </w:rPr>
        <w:t>clos</w:t>
      </w:r>
      <w:r w:rsidRPr="00500A7E">
        <w:rPr>
          <w:sz w:val="18"/>
          <w:szCs w:val="18"/>
          <w:lang w:val="fr-FR"/>
        </w:rPr>
        <w:t xml:space="preserve">, et, </w:t>
      </w:r>
      <w:r>
        <w:rPr>
          <w:sz w:val="18"/>
          <w:szCs w:val="18"/>
          <w:lang w:val="fr-FR"/>
        </w:rPr>
        <w:t>c’</w:t>
      </w:r>
      <w:r w:rsidRPr="00500A7E">
        <w:rPr>
          <w:sz w:val="18"/>
          <w:szCs w:val="18"/>
          <w:lang w:val="fr-FR"/>
        </w:rPr>
        <w:t>est seulement alors que le Directeur exécutif peut soumettre les comptes de l</w:t>
      </w:r>
      <w:r>
        <w:rPr>
          <w:sz w:val="18"/>
          <w:szCs w:val="18"/>
          <w:lang w:val="fr-FR"/>
        </w:rPr>
        <w:t>’</w:t>
      </w:r>
      <w:r w:rsidRPr="00500A7E">
        <w:rPr>
          <w:sz w:val="18"/>
          <w:szCs w:val="18"/>
          <w:lang w:val="fr-FR"/>
        </w:rPr>
        <w:t>année civile précédente.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534BF" w:rsidRDefault="00EB2C14" w:rsidP="00496F8D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rPr>
        <w:i/>
        <w:sz w:val="22"/>
        <w:szCs w:val="22"/>
      </w:rPr>
    </w:pPr>
    <w:r>
      <w:rPr>
        <w:i/>
        <w:sz w:val="22"/>
      </w:rPr>
      <w:t>CMS/Sharks/MOS2/Doc.10.1/Rev.1</w:t>
    </w:r>
  </w:p>
  <w:p w:rsidR="00EB2C14" w:rsidRDefault="00EB2C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534BF" w:rsidRDefault="00EB2C14" w:rsidP="00A60416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jc w:val="right"/>
      <w:rPr>
        <w:i/>
        <w:sz w:val="22"/>
        <w:szCs w:val="22"/>
      </w:rPr>
    </w:pPr>
    <w:r>
      <w:rPr>
        <w:i/>
        <w:sz w:val="22"/>
      </w:rPr>
      <w:t>CMS/Sharks/MOS2/Doc.10.1/Rev.1</w:t>
    </w:r>
  </w:p>
  <w:p w:rsidR="00EB2C14" w:rsidRDefault="00EB2C14" w:rsidP="006A780B">
    <w:pPr>
      <w:pStyle w:val="Header"/>
      <w:tabs>
        <w:tab w:val="left" w:pos="1725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B72EB" w:rsidRDefault="00EB2C14" w:rsidP="006C7AA1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rPr>
        <w:i/>
        <w:sz w:val="22"/>
        <w:szCs w:val="22"/>
      </w:rPr>
    </w:pPr>
    <w:r>
      <w:rPr>
        <w:i/>
        <w:sz w:val="22"/>
      </w:rPr>
      <w:t>CMS/Sharks/MOS2/Doc.10.1/Rev.1/Annexe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B72EB" w:rsidRDefault="00EB2C14" w:rsidP="006C7AA1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jc w:val="right"/>
      <w:rPr>
        <w:i/>
        <w:sz w:val="22"/>
        <w:szCs w:val="22"/>
      </w:rPr>
    </w:pPr>
    <w:r>
      <w:rPr>
        <w:i/>
        <w:sz w:val="22"/>
      </w:rPr>
      <w:t>CMS/Sharks/MOS2/Doc.10.1/Rev.1/Annexe 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534BF" w:rsidRDefault="00EB2C14" w:rsidP="002C1845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rPr>
        <w:i/>
        <w:sz w:val="22"/>
        <w:szCs w:val="22"/>
      </w:rPr>
    </w:pPr>
    <w:r>
      <w:rPr>
        <w:i/>
        <w:sz w:val="22"/>
      </w:rPr>
      <w:t>CMS/Sharks/MOS2/Doc.10./Rev.1/Annexe 4</w:t>
    </w:r>
  </w:p>
  <w:p w:rsidR="00EB2C14" w:rsidRDefault="00EB2C14" w:rsidP="006A780B">
    <w:pPr>
      <w:pStyle w:val="Header"/>
      <w:tabs>
        <w:tab w:val="left" w:pos="1725"/>
      </w:tabs>
    </w:pPr>
    <w:r>
      <w:tab/>
    </w:r>
    <w:r>
      <w:tab/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B72EB" w:rsidRDefault="00EB2C14" w:rsidP="006C7AA1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rPr>
        <w:i/>
        <w:sz w:val="22"/>
        <w:szCs w:val="22"/>
      </w:rPr>
    </w:pPr>
    <w:r>
      <w:rPr>
        <w:i/>
        <w:sz w:val="22"/>
      </w:rPr>
      <w:t>CMS/Sharks/MOS2/Doc.10.1/Rev.1/Annexe 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B72EB" w:rsidRDefault="00EB2C14" w:rsidP="006C7AA1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jc w:val="right"/>
      <w:rPr>
        <w:i/>
        <w:sz w:val="22"/>
        <w:szCs w:val="22"/>
      </w:rPr>
    </w:pPr>
    <w:r>
      <w:rPr>
        <w:i/>
        <w:sz w:val="22"/>
      </w:rPr>
      <w:t>CMS/Sharks/MOS2/Doc.10.1/Rev.1/Annexe 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534BF" w:rsidRDefault="00EB2C14" w:rsidP="00C61FB0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jc w:val="right"/>
      <w:rPr>
        <w:i/>
        <w:sz w:val="22"/>
        <w:szCs w:val="22"/>
      </w:rPr>
    </w:pPr>
    <w:r>
      <w:rPr>
        <w:i/>
        <w:sz w:val="22"/>
      </w:rPr>
      <w:t>CMS/Sharks/MOS2/Doc.10./Rev.1/Annexe 5</w:t>
    </w:r>
  </w:p>
  <w:p w:rsidR="00EB2C14" w:rsidRDefault="00EB2C14" w:rsidP="006A780B">
    <w:pPr>
      <w:pStyle w:val="Header"/>
      <w:tabs>
        <w:tab w:val="left" w:pos="1725"/>
      </w:tabs>
    </w:pPr>
    <w:r>
      <w:tab/>
    </w:r>
    <w:r>
      <w:tab/>
    </w:r>
    <w:r>
      <w:tab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14" w:rsidRPr="000B72EB" w:rsidRDefault="00EB2C14" w:rsidP="00BF5B44">
    <w:pPr>
      <w:pStyle w:val="Header"/>
      <w:pBdr>
        <w:bottom w:val="single" w:sz="4" w:space="1" w:color="auto"/>
      </w:pBdr>
      <w:tabs>
        <w:tab w:val="clear" w:pos="4153"/>
        <w:tab w:val="clear" w:pos="8306"/>
        <w:tab w:val="left" w:pos="3564"/>
      </w:tabs>
      <w:rPr>
        <w:i/>
        <w:sz w:val="22"/>
        <w:szCs w:val="22"/>
      </w:rPr>
    </w:pPr>
    <w:r>
      <w:rPr>
        <w:i/>
        <w:sz w:val="22"/>
      </w:rPr>
      <w:t>CMS/Sharks/MOS2/Doc.10.1/Rev.1/Annexe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7540B"/>
    <w:multiLevelType w:val="hybridMultilevel"/>
    <w:tmpl w:val="AB6E3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F5A"/>
    <w:multiLevelType w:val="hybridMultilevel"/>
    <w:tmpl w:val="A3AA2992"/>
    <w:lvl w:ilvl="0" w:tplc="6B66937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29B09324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2CA7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E1BA8"/>
    <w:multiLevelType w:val="hybridMultilevel"/>
    <w:tmpl w:val="5DB2D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1D0D33C">
      <w:start w:val="1"/>
      <w:numFmt w:val="decimal"/>
      <w:lvlText w:val="(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361D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1079"/>
    <w:multiLevelType w:val="hybridMultilevel"/>
    <w:tmpl w:val="2DEC46CC"/>
    <w:lvl w:ilvl="0" w:tplc="4DB0C8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2C8679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63778"/>
    <w:multiLevelType w:val="hybridMultilevel"/>
    <w:tmpl w:val="9112C844"/>
    <w:lvl w:ilvl="0" w:tplc="0409000F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5942F8E"/>
    <w:multiLevelType w:val="hybridMultilevel"/>
    <w:tmpl w:val="B10EF320"/>
    <w:lvl w:ilvl="0" w:tplc="3D241824">
      <w:start w:val="1"/>
      <w:numFmt w:val="decimal"/>
      <w:lvlText w:val="(%1)"/>
      <w:lvlJc w:val="left"/>
      <w:pPr>
        <w:ind w:left="720" w:hanging="360"/>
      </w:pPr>
    </w:lvl>
    <w:lvl w:ilvl="1" w:tplc="11D0D33C">
      <w:start w:val="1"/>
      <w:numFmt w:val="decimal"/>
      <w:lvlText w:val="(%2)"/>
      <w:lvlJc w:val="left"/>
      <w:pPr>
        <w:ind w:left="1440" w:hanging="360"/>
      </w:pPr>
    </w:lvl>
    <w:lvl w:ilvl="2" w:tplc="C0AE7F56">
      <w:start w:val="1"/>
      <w:numFmt w:val="lowerLetter"/>
      <w:lvlText w:val="(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04FB4"/>
    <w:multiLevelType w:val="hybridMultilevel"/>
    <w:tmpl w:val="AF3E5908"/>
    <w:lvl w:ilvl="0" w:tplc="6B66937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41A1"/>
    <w:multiLevelType w:val="hybridMultilevel"/>
    <w:tmpl w:val="077457BA"/>
    <w:lvl w:ilvl="0" w:tplc="728E4FE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F1ACC"/>
    <w:multiLevelType w:val="hybridMultilevel"/>
    <w:tmpl w:val="D5E0A192"/>
    <w:lvl w:ilvl="0" w:tplc="3D241824">
      <w:start w:val="1"/>
      <w:numFmt w:val="decimal"/>
      <w:lvlText w:val="(%1)"/>
      <w:lvlJc w:val="left"/>
      <w:pPr>
        <w:ind w:left="720" w:hanging="360"/>
      </w:pPr>
    </w:lvl>
    <w:lvl w:ilvl="1" w:tplc="11D0D33C">
      <w:start w:val="1"/>
      <w:numFmt w:val="decimal"/>
      <w:lvlText w:val="(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24043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8707C"/>
    <w:multiLevelType w:val="hybridMultilevel"/>
    <w:tmpl w:val="45482ECA"/>
    <w:lvl w:ilvl="0" w:tplc="76F29476">
      <w:start w:val="1"/>
      <w:numFmt w:val="decimal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E1ECE"/>
    <w:multiLevelType w:val="hybridMultilevel"/>
    <w:tmpl w:val="FA9820C6"/>
    <w:lvl w:ilvl="0" w:tplc="11D0D33C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C752D1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3018"/>
    <w:multiLevelType w:val="hybridMultilevel"/>
    <w:tmpl w:val="6D1C2296"/>
    <w:lvl w:ilvl="0" w:tplc="6B66937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5115F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D399C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E478D"/>
    <w:multiLevelType w:val="hybridMultilevel"/>
    <w:tmpl w:val="DCC89146"/>
    <w:lvl w:ilvl="0" w:tplc="11D0D33C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29B09324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FB326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3418F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47771"/>
    <w:multiLevelType w:val="hybridMultilevel"/>
    <w:tmpl w:val="DE3C2DB0"/>
    <w:lvl w:ilvl="0" w:tplc="6B66937E">
      <w:start w:val="1"/>
      <w:numFmt w:val="lowerLetter"/>
      <w:lvlText w:val="(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DD24CF"/>
    <w:multiLevelType w:val="hybridMultilevel"/>
    <w:tmpl w:val="BF440512"/>
    <w:lvl w:ilvl="0" w:tplc="6B66937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2D3403"/>
    <w:multiLevelType w:val="hybridMultilevel"/>
    <w:tmpl w:val="4290E864"/>
    <w:lvl w:ilvl="0" w:tplc="3612E37E">
      <w:start w:val="1"/>
      <w:numFmt w:val="lowerLetter"/>
      <w:lvlText w:val="(%1)"/>
      <w:lvlJc w:val="left"/>
      <w:pPr>
        <w:ind w:left="720" w:hanging="360"/>
      </w:pPr>
    </w:lvl>
    <w:lvl w:ilvl="1" w:tplc="DF9C16B0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086916">
      <w:start w:val="1"/>
      <w:numFmt w:val="decimal"/>
      <w:lvlText w:val="(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304FF"/>
    <w:multiLevelType w:val="hybridMultilevel"/>
    <w:tmpl w:val="D2686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DC02F85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07FBB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754E0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F70D8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0440E"/>
    <w:multiLevelType w:val="hybridMultilevel"/>
    <w:tmpl w:val="1EB2FC7E"/>
    <w:lvl w:ilvl="0" w:tplc="F0C0A0C2">
      <w:start w:val="1"/>
      <w:numFmt w:val="decimal"/>
      <w:lvlText w:val="2.%1"/>
      <w:lvlJc w:val="left"/>
      <w:pPr>
        <w:ind w:left="720" w:hanging="360"/>
      </w:pPr>
    </w:lvl>
    <w:lvl w:ilvl="1" w:tplc="F21478A2">
      <w:start w:val="1"/>
      <w:numFmt w:val="decimal"/>
      <w:lvlText w:val="Q%2."/>
      <w:lvlJc w:val="left"/>
      <w:pPr>
        <w:ind w:left="786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"/>
  </w:num>
  <w:num w:numId="33">
    <w:abstractNumId w:val="9"/>
  </w:num>
  <w:num w:numId="34">
    <w:abstractNumId w:val="27"/>
  </w:num>
  <w:num w:numId="35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79"/>
    <w:rsid w:val="000000B6"/>
    <w:rsid w:val="0000329E"/>
    <w:rsid w:val="00007D27"/>
    <w:rsid w:val="00011FB1"/>
    <w:rsid w:val="000162DD"/>
    <w:rsid w:val="0001658C"/>
    <w:rsid w:val="0001664A"/>
    <w:rsid w:val="00030CC6"/>
    <w:rsid w:val="0003561D"/>
    <w:rsid w:val="00040BC4"/>
    <w:rsid w:val="00041581"/>
    <w:rsid w:val="000514AB"/>
    <w:rsid w:val="000528D1"/>
    <w:rsid w:val="00053BE9"/>
    <w:rsid w:val="00054E0E"/>
    <w:rsid w:val="0005753E"/>
    <w:rsid w:val="0006290E"/>
    <w:rsid w:val="00062E43"/>
    <w:rsid w:val="00064410"/>
    <w:rsid w:val="00066BCE"/>
    <w:rsid w:val="00067DFF"/>
    <w:rsid w:val="00073664"/>
    <w:rsid w:val="0007625D"/>
    <w:rsid w:val="00077AF4"/>
    <w:rsid w:val="00084BFF"/>
    <w:rsid w:val="00090216"/>
    <w:rsid w:val="00093E40"/>
    <w:rsid w:val="00094143"/>
    <w:rsid w:val="000948CA"/>
    <w:rsid w:val="000A0B05"/>
    <w:rsid w:val="000A14F9"/>
    <w:rsid w:val="000A41F5"/>
    <w:rsid w:val="000A5048"/>
    <w:rsid w:val="000B0517"/>
    <w:rsid w:val="000B20EE"/>
    <w:rsid w:val="000B72EB"/>
    <w:rsid w:val="000C1B41"/>
    <w:rsid w:val="000C4010"/>
    <w:rsid w:val="000C5043"/>
    <w:rsid w:val="000C55F1"/>
    <w:rsid w:val="000C78FA"/>
    <w:rsid w:val="000E3127"/>
    <w:rsid w:val="000E53D0"/>
    <w:rsid w:val="000F2F57"/>
    <w:rsid w:val="000F3A78"/>
    <w:rsid w:val="00100C77"/>
    <w:rsid w:val="00105E18"/>
    <w:rsid w:val="0010638A"/>
    <w:rsid w:val="0011033B"/>
    <w:rsid w:val="00110EA3"/>
    <w:rsid w:val="00112D21"/>
    <w:rsid w:val="00113D6B"/>
    <w:rsid w:val="001140D7"/>
    <w:rsid w:val="00114F20"/>
    <w:rsid w:val="00115000"/>
    <w:rsid w:val="00117C6E"/>
    <w:rsid w:val="0012166B"/>
    <w:rsid w:val="001225A7"/>
    <w:rsid w:val="00123B20"/>
    <w:rsid w:val="00125952"/>
    <w:rsid w:val="00143578"/>
    <w:rsid w:val="00147052"/>
    <w:rsid w:val="001622A6"/>
    <w:rsid w:val="00163A6B"/>
    <w:rsid w:val="00167E7D"/>
    <w:rsid w:val="001724AD"/>
    <w:rsid w:val="001726CD"/>
    <w:rsid w:val="001729F5"/>
    <w:rsid w:val="00172D8F"/>
    <w:rsid w:val="00180112"/>
    <w:rsid w:val="00184D32"/>
    <w:rsid w:val="00187B24"/>
    <w:rsid w:val="001A20B2"/>
    <w:rsid w:val="001A508A"/>
    <w:rsid w:val="001B45E1"/>
    <w:rsid w:val="001B7BFB"/>
    <w:rsid w:val="001C1118"/>
    <w:rsid w:val="001C3EC8"/>
    <w:rsid w:val="001C4EC3"/>
    <w:rsid w:val="001C5C27"/>
    <w:rsid w:val="001D014A"/>
    <w:rsid w:val="001E5E2C"/>
    <w:rsid w:val="001F2308"/>
    <w:rsid w:val="001F33E7"/>
    <w:rsid w:val="001F398C"/>
    <w:rsid w:val="001F4326"/>
    <w:rsid w:val="001F7818"/>
    <w:rsid w:val="002031AD"/>
    <w:rsid w:val="002033B0"/>
    <w:rsid w:val="00204E63"/>
    <w:rsid w:val="0021079F"/>
    <w:rsid w:val="00211483"/>
    <w:rsid w:val="00212A77"/>
    <w:rsid w:val="0021348A"/>
    <w:rsid w:val="00214729"/>
    <w:rsid w:val="002168F3"/>
    <w:rsid w:val="002203FD"/>
    <w:rsid w:val="002221C9"/>
    <w:rsid w:val="00230650"/>
    <w:rsid w:val="002325AA"/>
    <w:rsid w:val="00232E77"/>
    <w:rsid w:val="00242392"/>
    <w:rsid w:val="00247325"/>
    <w:rsid w:val="002507CE"/>
    <w:rsid w:val="002547B2"/>
    <w:rsid w:val="00256660"/>
    <w:rsid w:val="002631DA"/>
    <w:rsid w:val="002672F4"/>
    <w:rsid w:val="00270BC0"/>
    <w:rsid w:val="00280EFF"/>
    <w:rsid w:val="00281D8D"/>
    <w:rsid w:val="00285BDE"/>
    <w:rsid w:val="00287625"/>
    <w:rsid w:val="0029245E"/>
    <w:rsid w:val="0029405C"/>
    <w:rsid w:val="00295FE1"/>
    <w:rsid w:val="00296685"/>
    <w:rsid w:val="00297422"/>
    <w:rsid w:val="002A2E7C"/>
    <w:rsid w:val="002B6090"/>
    <w:rsid w:val="002B6916"/>
    <w:rsid w:val="002B6F7A"/>
    <w:rsid w:val="002C09B6"/>
    <w:rsid w:val="002C1817"/>
    <w:rsid w:val="002C1845"/>
    <w:rsid w:val="002C21B0"/>
    <w:rsid w:val="002C2E0D"/>
    <w:rsid w:val="002D2DBB"/>
    <w:rsid w:val="002D32E3"/>
    <w:rsid w:val="002D6252"/>
    <w:rsid w:val="002D65BE"/>
    <w:rsid w:val="002E4092"/>
    <w:rsid w:val="002F360B"/>
    <w:rsid w:val="002F7FB3"/>
    <w:rsid w:val="003022A4"/>
    <w:rsid w:val="0030315A"/>
    <w:rsid w:val="00304C1E"/>
    <w:rsid w:val="00304DA1"/>
    <w:rsid w:val="00315C60"/>
    <w:rsid w:val="00332202"/>
    <w:rsid w:val="00333EAB"/>
    <w:rsid w:val="00337712"/>
    <w:rsid w:val="00342FC0"/>
    <w:rsid w:val="003478D9"/>
    <w:rsid w:val="00350409"/>
    <w:rsid w:val="003543AD"/>
    <w:rsid w:val="00364856"/>
    <w:rsid w:val="003648D4"/>
    <w:rsid w:val="00366BFD"/>
    <w:rsid w:val="00380B18"/>
    <w:rsid w:val="00381539"/>
    <w:rsid w:val="00384859"/>
    <w:rsid w:val="003858FC"/>
    <w:rsid w:val="00385A2C"/>
    <w:rsid w:val="00391001"/>
    <w:rsid w:val="0039322E"/>
    <w:rsid w:val="0039531D"/>
    <w:rsid w:val="003A34D6"/>
    <w:rsid w:val="003A535C"/>
    <w:rsid w:val="003A55D8"/>
    <w:rsid w:val="003B1518"/>
    <w:rsid w:val="003B24AF"/>
    <w:rsid w:val="003B2F6B"/>
    <w:rsid w:val="003B6B4F"/>
    <w:rsid w:val="003C0294"/>
    <w:rsid w:val="003C2478"/>
    <w:rsid w:val="003C467E"/>
    <w:rsid w:val="003C5DB4"/>
    <w:rsid w:val="003D0204"/>
    <w:rsid w:val="003D1A0D"/>
    <w:rsid w:val="003D23C3"/>
    <w:rsid w:val="003D48BC"/>
    <w:rsid w:val="003D7653"/>
    <w:rsid w:val="003E60C8"/>
    <w:rsid w:val="003F6123"/>
    <w:rsid w:val="00404695"/>
    <w:rsid w:val="004143E2"/>
    <w:rsid w:val="00424682"/>
    <w:rsid w:val="00424E28"/>
    <w:rsid w:val="00426E1E"/>
    <w:rsid w:val="00427A19"/>
    <w:rsid w:val="004314DC"/>
    <w:rsid w:val="0043572B"/>
    <w:rsid w:val="00440450"/>
    <w:rsid w:val="00442E03"/>
    <w:rsid w:val="00445F80"/>
    <w:rsid w:val="0044755F"/>
    <w:rsid w:val="00451859"/>
    <w:rsid w:val="00451945"/>
    <w:rsid w:val="004553C8"/>
    <w:rsid w:val="00457D0E"/>
    <w:rsid w:val="0046408E"/>
    <w:rsid w:val="004748BD"/>
    <w:rsid w:val="00483236"/>
    <w:rsid w:val="00485420"/>
    <w:rsid w:val="0048566B"/>
    <w:rsid w:val="00486182"/>
    <w:rsid w:val="00496F8D"/>
    <w:rsid w:val="004A073F"/>
    <w:rsid w:val="004A5896"/>
    <w:rsid w:val="004A668B"/>
    <w:rsid w:val="004B1BED"/>
    <w:rsid w:val="004B1C3F"/>
    <w:rsid w:val="004B4FE3"/>
    <w:rsid w:val="004B5E51"/>
    <w:rsid w:val="004B641A"/>
    <w:rsid w:val="004B67C3"/>
    <w:rsid w:val="004C1051"/>
    <w:rsid w:val="004C15BC"/>
    <w:rsid w:val="004C1D1D"/>
    <w:rsid w:val="004D14BF"/>
    <w:rsid w:val="004D2C9D"/>
    <w:rsid w:val="004D51E8"/>
    <w:rsid w:val="004E1539"/>
    <w:rsid w:val="004E351C"/>
    <w:rsid w:val="004F66B8"/>
    <w:rsid w:val="00500A7E"/>
    <w:rsid w:val="00502F76"/>
    <w:rsid w:val="005036ED"/>
    <w:rsid w:val="00512ACA"/>
    <w:rsid w:val="00521572"/>
    <w:rsid w:val="005249AC"/>
    <w:rsid w:val="00525196"/>
    <w:rsid w:val="005271EC"/>
    <w:rsid w:val="00531E71"/>
    <w:rsid w:val="00532DB2"/>
    <w:rsid w:val="00536A54"/>
    <w:rsid w:val="00537226"/>
    <w:rsid w:val="00544938"/>
    <w:rsid w:val="00545D82"/>
    <w:rsid w:val="005502BE"/>
    <w:rsid w:val="00554DEA"/>
    <w:rsid w:val="00561E3B"/>
    <w:rsid w:val="0057124E"/>
    <w:rsid w:val="00573DA3"/>
    <w:rsid w:val="00576036"/>
    <w:rsid w:val="00580BB1"/>
    <w:rsid w:val="00585C89"/>
    <w:rsid w:val="00596E10"/>
    <w:rsid w:val="00596E71"/>
    <w:rsid w:val="00597FFD"/>
    <w:rsid w:val="005B1276"/>
    <w:rsid w:val="005B432E"/>
    <w:rsid w:val="005B7CCE"/>
    <w:rsid w:val="005C455D"/>
    <w:rsid w:val="005C7637"/>
    <w:rsid w:val="005D41EE"/>
    <w:rsid w:val="005D59BB"/>
    <w:rsid w:val="005E2AB2"/>
    <w:rsid w:val="00601D21"/>
    <w:rsid w:val="006062DB"/>
    <w:rsid w:val="00612AEA"/>
    <w:rsid w:val="00612FAF"/>
    <w:rsid w:val="0061414A"/>
    <w:rsid w:val="00621443"/>
    <w:rsid w:val="0062370A"/>
    <w:rsid w:val="00626489"/>
    <w:rsid w:val="00627F98"/>
    <w:rsid w:val="006341D7"/>
    <w:rsid w:val="00641C33"/>
    <w:rsid w:val="00642643"/>
    <w:rsid w:val="00642C6E"/>
    <w:rsid w:val="006508D7"/>
    <w:rsid w:val="00652D58"/>
    <w:rsid w:val="0065713F"/>
    <w:rsid w:val="00660A09"/>
    <w:rsid w:val="006643E2"/>
    <w:rsid w:val="0067674A"/>
    <w:rsid w:val="00685391"/>
    <w:rsid w:val="00690584"/>
    <w:rsid w:val="006A00C3"/>
    <w:rsid w:val="006A5C7F"/>
    <w:rsid w:val="006A780B"/>
    <w:rsid w:val="006B031C"/>
    <w:rsid w:val="006B20D0"/>
    <w:rsid w:val="006C1BD8"/>
    <w:rsid w:val="006C6E61"/>
    <w:rsid w:val="006C7AA1"/>
    <w:rsid w:val="006C7D30"/>
    <w:rsid w:val="006D5EB4"/>
    <w:rsid w:val="006E72CD"/>
    <w:rsid w:val="006F2131"/>
    <w:rsid w:val="006F4410"/>
    <w:rsid w:val="006F7A1D"/>
    <w:rsid w:val="00704EAB"/>
    <w:rsid w:val="00706B20"/>
    <w:rsid w:val="00706CDF"/>
    <w:rsid w:val="00713851"/>
    <w:rsid w:val="007179F8"/>
    <w:rsid w:val="00724D22"/>
    <w:rsid w:val="0073309D"/>
    <w:rsid w:val="00734C65"/>
    <w:rsid w:val="00735098"/>
    <w:rsid w:val="007561DB"/>
    <w:rsid w:val="00756D88"/>
    <w:rsid w:val="00760235"/>
    <w:rsid w:val="00761F20"/>
    <w:rsid w:val="0076607B"/>
    <w:rsid w:val="00771535"/>
    <w:rsid w:val="0077222B"/>
    <w:rsid w:val="00773759"/>
    <w:rsid w:val="007843BA"/>
    <w:rsid w:val="0078781B"/>
    <w:rsid w:val="007A0ECF"/>
    <w:rsid w:val="007A1999"/>
    <w:rsid w:val="007A1EA2"/>
    <w:rsid w:val="007A2A08"/>
    <w:rsid w:val="007A4DCA"/>
    <w:rsid w:val="007B5BE3"/>
    <w:rsid w:val="007C292C"/>
    <w:rsid w:val="007C6C20"/>
    <w:rsid w:val="007D2BE6"/>
    <w:rsid w:val="007D2C42"/>
    <w:rsid w:val="007D5AEA"/>
    <w:rsid w:val="007D5C71"/>
    <w:rsid w:val="007E1172"/>
    <w:rsid w:val="007E5E6F"/>
    <w:rsid w:val="007E705D"/>
    <w:rsid w:val="007F21B1"/>
    <w:rsid w:val="008042EA"/>
    <w:rsid w:val="00804AA2"/>
    <w:rsid w:val="008155B8"/>
    <w:rsid w:val="008155C8"/>
    <w:rsid w:val="00820806"/>
    <w:rsid w:val="008244D3"/>
    <w:rsid w:val="00825963"/>
    <w:rsid w:val="0082611B"/>
    <w:rsid w:val="008263D7"/>
    <w:rsid w:val="00830157"/>
    <w:rsid w:val="00833191"/>
    <w:rsid w:val="00833727"/>
    <w:rsid w:val="00837B3D"/>
    <w:rsid w:val="008410EB"/>
    <w:rsid w:val="00843125"/>
    <w:rsid w:val="008504FD"/>
    <w:rsid w:val="008562AE"/>
    <w:rsid w:val="00860CD7"/>
    <w:rsid w:val="0086167A"/>
    <w:rsid w:val="00861C62"/>
    <w:rsid w:val="00863A75"/>
    <w:rsid w:val="00863BCD"/>
    <w:rsid w:val="00865AE8"/>
    <w:rsid w:val="00866C4A"/>
    <w:rsid w:val="0087093E"/>
    <w:rsid w:val="00872D87"/>
    <w:rsid w:val="00882FF6"/>
    <w:rsid w:val="00892A34"/>
    <w:rsid w:val="008A26A5"/>
    <w:rsid w:val="008B4D0D"/>
    <w:rsid w:val="008B5052"/>
    <w:rsid w:val="008B654F"/>
    <w:rsid w:val="008C3812"/>
    <w:rsid w:val="008C6505"/>
    <w:rsid w:val="008C6CFD"/>
    <w:rsid w:val="008D185A"/>
    <w:rsid w:val="008D4521"/>
    <w:rsid w:val="008D4B7A"/>
    <w:rsid w:val="008E0DBF"/>
    <w:rsid w:val="008F57FF"/>
    <w:rsid w:val="008F624B"/>
    <w:rsid w:val="008F7150"/>
    <w:rsid w:val="008F7C5D"/>
    <w:rsid w:val="009059BE"/>
    <w:rsid w:val="0091106D"/>
    <w:rsid w:val="009116D8"/>
    <w:rsid w:val="00917D13"/>
    <w:rsid w:val="0092026B"/>
    <w:rsid w:val="0092374A"/>
    <w:rsid w:val="00925B00"/>
    <w:rsid w:val="0092627D"/>
    <w:rsid w:val="00935619"/>
    <w:rsid w:val="00935BF7"/>
    <w:rsid w:val="0093674B"/>
    <w:rsid w:val="0094362D"/>
    <w:rsid w:val="00952F52"/>
    <w:rsid w:val="00957E52"/>
    <w:rsid w:val="00961082"/>
    <w:rsid w:val="0096252D"/>
    <w:rsid w:val="009724FE"/>
    <w:rsid w:val="00984E62"/>
    <w:rsid w:val="009867FF"/>
    <w:rsid w:val="00991574"/>
    <w:rsid w:val="0099792E"/>
    <w:rsid w:val="009A3C26"/>
    <w:rsid w:val="009B4558"/>
    <w:rsid w:val="009C1395"/>
    <w:rsid w:val="009C29B7"/>
    <w:rsid w:val="009D3C7E"/>
    <w:rsid w:val="009E0197"/>
    <w:rsid w:val="009E195A"/>
    <w:rsid w:val="009E5D41"/>
    <w:rsid w:val="009F1D92"/>
    <w:rsid w:val="009F3FE6"/>
    <w:rsid w:val="009F59E3"/>
    <w:rsid w:val="00A02DC0"/>
    <w:rsid w:val="00A07176"/>
    <w:rsid w:val="00A07409"/>
    <w:rsid w:val="00A13329"/>
    <w:rsid w:val="00A13AA7"/>
    <w:rsid w:val="00A14F19"/>
    <w:rsid w:val="00A25742"/>
    <w:rsid w:val="00A313FB"/>
    <w:rsid w:val="00A34C34"/>
    <w:rsid w:val="00A36361"/>
    <w:rsid w:val="00A36C1F"/>
    <w:rsid w:val="00A41F40"/>
    <w:rsid w:val="00A470AB"/>
    <w:rsid w:val="00A542BE"/>
    <w:rsid w:val="00A5687F"/>
    <w:rsid w:val="00A60416"/>
    <w:rsid w:val="00A6067C"/>
    <w:rsid w:val="00A6452B"/>
    <w:rsid w:val="00A67865"/>
    <w:rsid w:val="00A75BEE"/>
    <w:rsid w:val="00A76315"/>
    <w:rsid w:val="00A84CC5"/>
    <w:rsid w:val="00A86A76"/>
    <w:rsid w:val="00A92912"/>
    <w:rsid w:val="00A92E1D"/>
    <w:rsid w:val="00AA1C8F"/>
    <w:rsid w:val="00AA220E"/>
    <w:rsid w:val="00AA7C4B"/>
    <w:rsid w:val="00AB2D5B"/>
    <w:rsid w:val="00AB2DA9"/>
    <w:rsid w:val="00AB3E08"/>
    <w:rsid w:val="00AC234C"/>
    <w:rsid w:val="00AC4DB3"/>
    <w:rsid w:val="00AC7FA9"/>
    <w:rsid w:val="00AD0091"/>
    <w:rsid w:val="00AD02F6"/>
    <w:rsid w:val="00AD28CF"/>
    <w:rsid w:val="00AD3314"/>
    <w:rsid w:val="00AD4C82"/>
    <w:rsid w:val="00AD75A0"/>
    <w:rsid w:val="00AD7E5C"/>
    <w:rsid w:val="00AE1D96"/>
    <w:rsid w:val="00AE2DCF"/>
    <w:rsid w:val="00AE6178"/>
    <w:rsid w:val="00AF1BAE"/>
    <w:rsid w:val="00AF4393"/>
    <w:rsid w:val="00AF4EAA"/>
    <w:rsid w:val="00AF5FCF"/>
    <w:rsid w:val="00AF6552"/>
    <w:rsid w:val="00B00AF6"/>
    <w:rsid w:val="00B04F77"/>
    <w:rsid w:val="00B05D60"/>
    <w:rsid w:val="00B07AC5"/>
    <w:rsid w:val="00B17F77"/>
    <w:rsid w:val="00B25402"/>
    <w:rsid w:val="00B274FC"/>
    <w:rsid w:val="00B30649"/>
    <w:rsid w:val="00B31323"/>
    <w:rsid w:val="00B32210"/>
    <w:rsid w:val="00B41503"/>
    <w:rsid w:val="00B4726A"/>
    <w:rsid w:val="00B57342"/>
    <w:rsid w:val="00B5740B"/>
    <w:rsid w:val="00B72510"/>
    <w:rsid w:val="00B769F9"/>
    <w:rsid w:val="00B840FB"/>
    <w:rsid w:val="00BA0FA8"/>
    <w:rsid w:val="00BA28D7"/>
    <w:rsid w:val="00BB1294"/>
    <w:rsid w:val="00BB5692"/>
    <w:rsid w:val="00BB65F2"/>
    <w:rsid w:val="00BC1261"/>
    <w:rsid w:val="00BC356D"/>
    <w:rsid w:val="00BC70D4"/>
    <w:rsid w:val="00BD241F"/>
    <w:rsid w:val="00BD2B00"/>
    <w:rsid w:val="00BD4BE7"/>
    <w:rsid w:val="00BD75AD"/>
    <w:rsid w:val="00BE0211"/>
    <w:rsid w:val="00BE411F"/>
    <w:rsid w:val="00BE78AA"/>
    <w:rsid w:val="00BF1E7F"/>
    <w:rsid w:val="00BF52E0"/>
    <w:rsid w:val="00BF5B44"/>
    <w:rsid w:val="00C032B3"/>
    <w:rsid w:val="00C150D0"/>
    <w:rsid w:val="00C24EEA"/>
    <w:rsid w:val="00C27E4C"/>
    <w:rsid w:val="00C316A6"/>
    <w:rsid w:val="00C4121E"/>
    <w:rsid w:val="00C433CB"/>
    <w:rsid w:val="00C448AF"/>
    <w:rsid w:val="00C4643A"/>
    <w:rsid w:val="00C471C1"/>
    <w:rsid w:val="00C54916"/>
    <w:rsid w:val="00C55BD5"/>
    <w:rsid w:val="00C57525"/>
    <w:rsid w:val="00C613A1"/>
    <w:rsid w:val="00C61FB0"/>
    <w:rsid w:val="00C66576"/>
    <w:rsid w:val="00C7074E"/>
    <w:rsid w:val="00C74A2A"/>
    <w:rsid w:val="00C82531"/>
    <w:rsid w:val="00C87B4B"/>
    <w:rsid w:val="00C92CA4"/>
    <w:rsid w:val="00CA502F"/>
    <w:rsid w:val="00CB074D"/>
    <w:rsid w:val="00CB4BD8"/>
    <w:rsid w:val="00CB5B74"/>
    <w:rsid w:val="00CB65E6"/>
    <w:rsid w:val="00CC06E5"/>
    <w:rsid w:val="00CC2416"/>
    <w:rsid w:val="00CC3BE0"/>
    <w:rsid w:val="00CD152C"/>
    <w:rsid w:val="00CE0B24"/>
    <w:rsid w:val="00CE5400"/>
    <w:rsid w:val="00CE568A"/>
    <w:rsid w:val="00CE5E6B"/>
    <w:rsid w:val="00CE657B"/>
    <w:rsid w:val="00CE6A6D"/>
    <w:rsid w:val="00CF0450"/>
    <w:rsid w:val="00CF0AC3"/>
    <w:rsid w:val="00CF28B8"/>
    <w:rsid w:val="00CF2C12"/>
    <w:rsid w:val="00CF42B8"/>
    <w:rsid w:val="00D018A6"/>
    <w:rsid w:val="00D02EED"/>
    <w:rsid w:val="00D051B2"/>
    <w:rsid w:val="00D07AB5"/>
    <w:rsid w:val="00D12C58"/>
    <w:rsid w:val="00D22079"/>
    <w:rsid w:val="00D24755"/>
    <w:rsid w:val="00D45E2E"/>
    <w:rsid w:val="00D660EF"/>
    <w:rsid w:val="00D71D8C"/>
    <w:rsid w:val="00D7376D"/>
    <w:rsid w:val="00D75FD2"/>
    <w:rsid w:val="00D851DD"/>
    <w:rsid w:val="00D86132"/>
    <w:rsid w:val="00D902E5"/>
    <w:rsid w:val="00D91363"/>
    <w:rsid w:val="00D91C60"/>
    <w:rsid w:val="00DA2403"/>
    <w:rsid w:val="00DA45A6"/>
    <w:rsid w:val="00DA4F6E"/>
    <w:rsid w:val="00DA4FA7"/>
    <w:rsid w:val="00DA54DA"/>
    <w:rsid w:val="00DB2270"/>
    <w:rsid w:val="00DC08FC"/>
    <w:rsid w:val="00DC37E7"/>
    <w:rsid w:val="00DC44BF"/>
    <w:rsid w:val="00DD1F91"/>
    <w:rsid w:val="00DD430B"/>
    <w:rsid w:val="00DE7638"/>
    <w:rsid w:val="00DE7B26"/>
    <w:rsid w:val="00DF2E68"/>
    <w:rsid w:val="00DF7440"/>
    <w:rsid w:val="00E02CE5"/>
    <w:rsid w:val="00E02EE4"/>
    <w:rsid w:val="00E03488"/>
    <w:rsid w:val="00E07756"/>
    <w:rsid w:val="00E115B2"/>
    <w:rsid w:val="00E20C94"/>
    <w:rsid w:val="00E223A8"/>
    <w:rsid w:val="00E22733"/>
    <w:rsid w:val="00E2352B"/>
    <w:rsid w:val="00E2418F"/>
    <w:rsid w:val="00E31360"/>
    <w:rsid w:val="00E333CE"/>
    <w:rsid w:val="00E3737A"/>
    <w:rsid w:val="00E40ACC"/>
    <w:rsid w:val="00E5165C"/>
    <w:rsid w:val="00E62E80"/>
    <w:rsid w:val="00E70D3F"/>
    <w:rsid w:val="00E74A0E"/>
    <w:rsid w:val="00E75293"/>
    <w:rsid w:val="00E77D97"/>
    <w:rsid w:val="00E83AF4"/>
    <w:rsid w:val="00E8460F"/>
    <w:rsid w:val="00E85514"/>
    <w:rsid w:val="00E91026"/>
    <w:rsid w:val="00E9124B"/>
    <w:rsid w:val="00EA046A"/>
    <w:rsid w:val="00EA2462"/>
    <w:rsid w:val="00EA6E37"/>
    <w:rsid w:val="00EB07BD"/>
    <w:rsid w:val="00EB2C14"/>
    <w:rsid w:val="00EC4997"/>
    <w:rsid w:val="00EC564A"/>
    <w:rsid w:val="00EE515E"/>
    <w:rsid w:val="00EE60E6"/>
    <w:rsid w:val="00EF65D9"/>
    <w:rsid w:val="00EF781B"/>
    <w:rsid w:val="00F01629"/>
    <w:rsid w:val="00F0322F"/>
    <w:rsid w:val="00F101DF"/>
    <w:rsid w:val="00F10870"/>
    <w:rsid w:val="00F120E7"/>
    <w:rsid w:val="00F12752"/>
    <w:rsid w:val="00F138D8"/>
    <w:rsid w:val="00F14715"/>
    <w:rsid w:val="00F20D51"/>
    <w:rsid w:val="00F2315E"/>
    <w:rsid w:val="00F2523F"/>
    <w:rsid w:val="00F264C7"/>
    <w:rsid w:val="00F315FA"/>
    <w:rsid w:val="00F32556"/>
    <w:rsid w:val="00F33DF6"/>
    <w:rsid w:val="00F445D9"/>
    <w:rsid w:val="00F44CCE"/>
    <w:rsid w:val="00F47CCD"/>
    <w:rsid w:val="00F52E36"/>
    <w:rsid w:val="00F54273"/>
    <w:rsid w:val="00F54E56"/>
    <w:rsid w:val="00F5777D"/>
    <w:rsid w:val="00F61182"/>
    <w:rsid w:val="00F67806"/>
    <w:rsid w:val="00F75890"/>
    <w:rsid w:val="00F80D78"/>
    <w:rsid w:val="00F8608B"/>
    <w:rsid w:val="00FA3510"/>
    <w:rsid w:val="00FA4B1C"/>
    <w:rsid w:val="00FA792D"/>
    <w:rsid w:val="00FB123E"/>
    <w:rsid w:val="00FB38A1"/>
    <w:rsid w:val="00FB4689"/>
    <w:rsid w:val="00FB73EF"/>
    <w:rsid w:val="00FC0899"/>
    <w:rsid w:val="00FC2AAD"/>
    <w:rsid w:val="00FC4480"/>
    <w:rsid w:val="00FC4FE7"/>
    <w:rsid w:val="00FC750B"/>
    <w:rsid w:val="00FD40AE"/>
    <w:rsid w:val="00FD56E6"/>
    <w:rsid w:val="00FD70CC"/>
    <w:rsid w:val="00FD7C39"/>
    <w:rsid w:val="00FE3A99"/>
    <w:rsid w:val="00FE5125"/>
    <w:rsid w:val="00FE707D"/>
    <w:rsid w:val="00FF3D2D"/>
    <w:rsid w:val="00FF4AC9"/>
    <w:rsid w:val="00FF5BAB"/>
    <w:rsid w:val="00FF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F23BD26-5C66-4D3A-B1D3-3520A3B7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2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  <w:lang w:val="en-GB"/>
    </w:rPr>
  </w:style>
  <w:style w:type="paragraph" w:styleId="Heading2">
    <w:name w:val="heading 2"/>
    <w:basedOn w:val="Normal"/>
    <w:next w:val="Normal"/>
    <w:qFormat/>
    <w:rsid w:val="000528D1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rsid w:val="000528D1"/>
    <w:pPr>
      <w:keepNext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qFormat/>
    <w:rsid w:val="000528D1"/>
    <w:pPr>
      <w:keepNext/>
      <w:jc w:val="both"/>
      <w:outlineLvl w:val="4"/>
    </w:pPr>
    <w:rPr>
      <w:b/>
      <w:i/>
      <w:iCs/>
      <w:sz w:val="22"/>
      <w:u w:val="single"/>
      <w:lang w:val="en-GB"/>
    </w:rPr>
  </w:style>
  <w:style w:type="paragraph" w:styleId="Heading6">
    <w:name w:val="heading 6"/>
    <w:basedOn w:val="Normal"/>
    <w:next w:val="Normal"/>
    <w:qFormat/>
    <w:rsid w:val="000528D1"/>
    <w:pPr>
      <w:keepNext/>
      <w:outlineLvl w:val="5"/>
    </w:pPr>
    <w:rPr>
      <w:i/>
      <w:iCs/>
      <w:sz w:val="23"/>
      <w:szCs w:val="23"/>
      <w:lang w:val="en-GB"/>
    </w:rPr>
  </w:style>
  <w:style w:type="paragraph" w:styleId="Heading7">
    <w:name w:val="heading 7"/>
    <w:basedOn w:val="Normal"/>
    <w:next w:val="Normal"/>
    <w:qFormat/>
    <w:rsid w:val="000528D1"/>
    <w:pPr>
      <w:keepNext/>
      <w:jc w:val="center"/>
      <w:outlineLvl w:val="6"/>
    </w:pPr>
    <w:rPr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ascii="Arial" w:hAnsi="Arial" w:cs="Arial"/>
      <w:sz w:val="24"/>
      <w:lang w:val="en-GB"/>
    </w:rPr>
  </w:style>
  <w:style w:type="paragraph" w:styleId="Heading9">
    <w:name w:val="heading 9"/>
    <w:basedOn w:val="Normal"/>
    <w:next w:val="Normal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Arial" w:hAnsi="Arial" w:cs="Arial"/>
      <w:b/>
      <w:bCs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528D1"/>
  </w:style>
  <w:style w:type="paragraph" w:customStyle="1" w:styleId="Level1">
    <w:name w:val="Level 1"/>
    <w:basedOn w:val="Normal"/>
    <w:rsid w:val="000528D1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Normal"/>
    <w:rsid w:val="000528D1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Normal"/>
    <w:rsid w:val="000528D1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rsid w:val="000528D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GB"/>
    </w:rPr>
  </w:style>
  <w:style w:type="paragraph" w:customStyle="1" w:styleId="Preformatted">
    <w:name w:val="Preformatted"/>
    <w:rsid w:val="000528D1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rsid w:val="000528D1"/>
    <w:pPr>
      <w:widowControl w:val="0"/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basedOn w:val="DefaultParagraphFont"/>
    <w:rsid w:val="000528D1"/>
  </w:style>
  <w:style w:type="paragraph" w:styleId="Header">
    <w:name w:val="header"/>
    <w:basedOn w:val="Normal"/>
    <w:link w:val="HeaderChar"/>
    <w:uiPriority w:val="99"/>
    <w:rsid w:val="000528D1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528D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28D1"/>
    <w:pPr>
      <w:ind w:left="720" w:hanging="720"/>
      <w:jc w:val="both"/>
    </w:pPr>
    <w:rPr>
      <w:sz w:val="22"/>
      <w:lang w:val="en-GB"/>
    </w:rPr>
  </w:style>
  <w:style w:type="paragraph" w:styleId="BodyText">
    <w:name w:val="Body Text"/>
    <w:basedOn w:val="Normal"/>
    <w:rsid w:val="000528D1"/>
    <w:pPr>
      <w:jc w:val="both"/>
    </w:pPr>
    <w:rPr>
      <w:sz w:val="22"/>
      <w:lang w:val="en-GB"/>
    </w:rPr>
  </w:style>
  <w:style w:type="character" w:styleId="Hyperlink">
    <w:name w:val="Hyperlink"/>
    <w:rsid w:val="000528D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0528D1"/>
    <w:rPr>
      <w:szCs w:val="20"/>
    </w:rPr>
  </w:style>
  <w:style w:type="paragraph" w:styleId="BodyText2">
    <w:name w:val="Body Text 2"/>
    <w:basedOn w:val="Normal"/>
    <w:link w:val="BodyText2Char"/>
    <w:uiPriority w:val="99"/>
    <w:rsid w:val="000528D1"/>
    <w:rPr>
      <w:sz w:val="22"/>
    </w:rPr>
  </w:style>
  <w:style w:type="paragraph" w:styleId="BalloonText">
    <w:name w:val="Balloon Text"/>
    <w:basedOn w:val="Normal"/>
    <w:semiHidden/>
    <w:rsid w:val="000528D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528D1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  <w:lang w:val="en-GB"/>
    </w:rPr>
  </w:style>
  <w:style w:type="paragraph" w:styleId="BlockText">
    <w:name w:val="Block Text"/>
    <w:basedOn w:val="Normal"/>
    <w:rsid w:val="000528D1"/>
    <w:pPr>
      <w:ind w:left="1418" w:right="283" w:hanging="709"/>
    </w:pPr>
    <w:rPr>
      <w:sz w:val="24"/>
      <w:szCs w:val="23"/>
    </w:rPr>
  </w:style>
  <w:style w:type="paragraph" w:customStyle="1" w:styleId="Standard">
    <w:name w:val="Standard"/>
    <w:basedOn w:val="Normal"/>
    <w:rsid w:val="000528D1"/>
    <w:pPr>
      <w:tabs>
        <w:tab w:val="left" w:pos="-1440"/>
        <w:tab w:val="left" w:pos="-732"/>
        <w:tab w:val="left" w:pos="0"/>
        <w:tab w:val="left" w:pos="685"/>
        <w:tab w:val="left" w:pos="1395"/>
        <w:tab w:val="left" w:pos="2104"/>
        <w:tab w:val="left" w:pos="2814"/>
        <w:tab w:val="left" w:pos="3522"/>
        <w:tab w:val="left" w:pos="4230"/>
        <w:tab w:val="left" w:pos="4939"/>
        <w:tab w:val="left" w:pos="5649"/>
        <w:tab w:val="left" w:pos="6358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zCs w:val="20"/>
    </w:rPr>
  </w:style>
  <w:style w:type="paragraph" w:styleId="ListParagraph">
    <w:name w:val="List Paragraph"/>
    <w:basedOn w:val="Normal"/>
    <w:uiPriority w:val="99"/>
    <w:qFormat/>
    <w:rsid w:val="00596E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04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A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4AA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0F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FA8"/>
  </w:style>
  <w:style w:type="character" w:styleId="EndnoteReference">
    <w:name w:val="endnote reference"/>
    <w:uiPriority w:val="99"/>
    <w:semiHidden/>
    <w:unhideWhenUsed/>
    <w:rsid w:val="00BA0FA8"/>
    <w:rPr>
      <w:vertAlign w:val="superscript"/>
    </w:rPr>
  </w:style>
  <w:style w:type="character" w:styleId="Emphasis">
    <w:name w:val="Emphasis"/>
    <w:uiPriority w:val="20"/>
    <w:qFormat/>
    <w:rsid w:val="00F47CCD"/>
    <w:rPr>
      <w:i/>
      <w:iCs/>
    </w:rPr>
  </w:style>
  <w:style w:type="paragraph" w:styleId="NormalWeb">
    <w:name w:val="Normal (Web)"/>
    <w:basedOn w:val="Normal"/>
    <w:uiPriority w:val="99"/>
    <w:unhideWhenUsed/>
    <w:rsid w:val="00F47CC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F47CCD"/>
    <w:rPr>
      <w:b/>
      <w:bCs/>
    </w:rPr>
  </w:style>
  <w:style w:type="paragraph" w:styleId="NoSpacing">
    <w:name w:val="No Spacing"/>
    <w:uiPriority w:val="99"/>
    <w:qFormat/>
    <w:rsid w:val="008F7C5D"/>
    <w:rPr>
      <w:rFonts w:ascii="Calibri" w:hAnsi="Calibri" w:cs="Calibr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8F7C5D"/>
    <w:rPr>
      <w:rFonts w:ascii="Calibri" w:hAnsi="Calibri"/>
      <w:sz w:val="22"/>
      <w:szCs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EF781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2">
    <w:name w:val="Medium Grid 2"/>
    <w:basedOn w:val="TableNormal"/>
    <w:uiPriority w:val="68"/>
    <w:rsid w:val="00EF781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olorfulList">
    <w:name w:val="Colorful List"/>
    <w:basedOn w:val="TableNormal"/>
    <w:uiPriority w:val="72"/>
    <w:rsid w:val="00EF781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5">
    <w:name w:val="Colorful List Accent 5"/>
    <w:basedOn w:val="TableNormal"/>
    <w:uiPriority w:val="72"/>
    <w:rsid w:val="00EF781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character" w:styleId="FollowedHyperlink">
    <w:name w:val="FollowedHyperlink"/>
    <w:uiPriority w:val="99"/>
    <w:semiHidden/>
    <w:unhideWhenUsed/>
    <w:rsid w:val="00EF781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A20B2"/>
  </w:style>
  <w:style w:type="paragraph" w:styleId="PlainText">
    <w:name w:val="Plain Text"/>
    <w:basedOn w:val="Normal"/>
    <w:link w:val="PlainTextChar"/>
    <w:uiPriority w:val="99"/>
    <w:unhideWhenUsed/>
    <w:rsid w:val="000C78FA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C78FA"/>
    <w:rPr>
      <w:rFonts w:ascii="Calibri" w:eastAsia="Calibri" w:hAnsi="Calibri" w:cs="Times New Roman"/>
      <w:sz w:val="22"/>
      <w:szCs w:val="21"/>
    </w:rPr>
  </w:style>
  <w:style w:type="character" w:customStyle="1" w:styleId="FooterChar">
    <w:name w:val="Footer Char"/>
    <w:link w:val="Footer"/>
    <w:uiPriority w:val="99"/>
    <w:rsid w:val="0005753E"/>
    <w:rPr>
      <w:szCs w:val="24"/>
    </w:rPr>
  </w:style>
  <w:style w:type="character" w:customStyle="1" w:styleId="FootnoteTextChar">
    <w:name w:val="Footnote Text Char"/>
    <w:link w:val="FootnoteText"/>
    <w:uiPriority w:val="99"/>
    <w:rsid w:val="00961082"/>
  </w:style>
  <w:style w:type="character" w:customStyle="1" w:styleId="HeaderChar">
    <w:name w:val="Header Char"/>
    <w:link w:val="Header"/>
    <w:uiPriority w:val="99"/>
    <w:rsid w:val="00BE0211"/>
    <w:rPr>
      <w:lang w:val="en-GB"/>
    </w:rPr>
  </w:style>
  <w:style w:type="character" w:customStyle="1" w:styleId="BodyText2Char">
    <w:name w:val="Body Text 2 Char"/>
    <w:link w:val="BodyText2"/>
    <w:uiPriority w:val="99"/>
    <w:locked/>
    <w:rsid w:val="00F14715"/>
    <w:rPr>
      <w:sz w:val="22"/>
      <w:szCs w:val="24"/>
    </w:rPr>
  </w:style>
  <w:style w:type="paragraph" w:styleId="Revision">
    <w:name w:val="Revision"/>
    <w:hidden/>
    <w:uiPriority w:val="99"/>
    <w:semiHidden/>
    <w:rsid w:val="00597FF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4B86-1315-4A55-B9D7-080E9920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3919</Words>
  <Characters>21819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United Nations Volunteers (UNV) programme</Company>
  <LinksUpToDate>false</LinksUpToDate>
  <CharactersWithSpaces>25687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Linette Eitz Lamare</dc:creator>
  <cp:lastModifiedBy>Eva Meyers</cp:lastModifiedBy>
  <cp:revision>13</cp:revision>
  <cp:lastPrinted>2016-01-18T09:40:00Z</cp:lastPrinted>
  <dcterms:created xsi:type="dcterms:W3CDTF">2016-01-25T13:02:00Z</dcterms:created>
  <dcterms:modified xsi:type="dcterms:W3CDTF">2016-01-28T14:50:00Z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