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12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77"/>
        <w:gridCol w:w="4564"/>
        <w:gridCol w:w="2979"/>
      </w:tblGrid>
      <w:tr w:rsidR="003A55D8" w:rsidRPr="00FD56E6" w:rsidTr="002031AD">
        <w:trPr>
          <w:cantSplit/>
          <w:trHeight w:val="749"/>
        </w:trPr>
        <w:tc>
          <w:tcPr>
            <w:tcW w:w="912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3A55D8" w:rsidRPr="00FD56E6" w:rsidRDefault="001D660C" w:rsidP="003A55D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3A55D8">
              <w:rPr>
                <w:noProof/>
                <w:sz w:val="22"/>
                <w:szCs w:val="22"/>
              </w:rPr>
              <w:drawing>
                <wp:inline distT="0" distB="0" distL="0" distR="0" wp14:anchorId="016AD6F7" wp14:editId="7AC57A4C">
                  <wp:extent cx="323850" cy="333375"/>
                  <wp:effectExtent l="0" t="0" r="0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97" t="-2637" r="-3897" b="-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5D8">
              <w:rPr>
                <w:noProof/>
                <w:sz w:val="22"/>
                <w:szCs w:val="22"/>
              </w:rPr>
              <w:drawing>
                <wp:inline distT="0" distB="0" distL="0" distR="0" wp14:anchorId="04F1BB23" wp14:editId="48A4E097">
                  <wp:extent cx="361950" cy="3810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" t="-1329" r="60167" b="48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55D8" w:rsidRPr="00FD56E6">
              <w:rPr>
                <w:sz w:val="22"/>
                <w:szCs w:val="22"/>
                <w:lang w:val="en-GB"/>
              </w:rPr>
              <w:tab/>
            </w:r>
            <w:r w:rsidRPr="003A55D8">
              <w:rPr>
                <w:noProof/>
                <w:sz w:val="22"/>
              </w:rPr>
              <w:drawing>
                <wp:inline distT="0" distB="0" distL="0" distR="0" wp14:anchorId="7848E781" wp14:editId="1FE63A39">
                  <wp:extent cx="314325" cy="32385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33" t="-726" r="-2533" b="-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5D8" w:rsidRPr="007C5719" w:rsidTr="002031AD">
        <w:trPr>
          <w:trHeight w:val="1569"/>
        </w:trPr>
        <w:tc>
          <w:tcPr>
            <w:tcW w:w="1577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3A55D8" w:rsidRPr="007C5719" w:rsidRDefault="001D660C" w:rsidP="003A55D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E546802" wp14:editId="6727039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3A55D8" w:rsidRPr="007C5719" w:rsidRDefault="003A55D8" w:rsidP="003A55D8">
            <w:pPr>
              <w:ind w:left="274"/>
              <w:rPr>
                <w:b/>
                <w:bCs/>
                <w:szCs w:val="22"/>
              </w:rPr>
            </w:pPr>
            <w:r w:rsidRPr="007C5719">
              <w:rPr>
                <w:b/>
                <w:bCs/>
                <w:szCs w:val="22"/>
              </w:rPr>
              <w:t>MEMORANDUM OF UNDERSTANDING ON THE CONSERVATION OF MIGRATORY SHARKS</w:t>
            </w:r>
          </w:p>
          <w:p w:rsidR="003A55D8" w:rsidRPr="007C5719" w:rsidRDefault="003A55D8" w:rsidP="003A55D8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3A55D8" w:rsidRPr="00A05017" w:rsidRDefault="003A55D8" w:rsidP="003A55D8">
            <w:pPr>
              <w:ind w:left="-36" w:right="-108"/>
              <w:jc w:val="both"/>
              <w:rPr>
                <w:sz w:val="22"/>
                <w:szCs w:val="22"/>
              </w:rPr>
            </w:pPr>
            <w:r w:rsidRPr="00A05017">
              <w:rPr>
                <w:sz w:val="22"/>
                <w:szCs w:val="22"/>
              </w:rPr>
              <w:t>CMS/Sharks/MOS2/Doc.</w:t>
            </w:r>
            <w:r w:rsidR="009C2093" w:rsidRPr="00A05017">
              <w:rPr>
                <w:sz w:val="22"/>
                <w:szCs w:val="22"/>
              </w:rPr>
              <w:t>9.1</w:t>
            </w:r>
          </w:p>
          <w:p w:rsidR="003A55D8" w:rsidRPr="00A05017" w:rsidRDefault="003A55D8" w:rsidP="003A55D8">
            <w:pPr>
              <w:ind w:left="-36" w:right="-108"/>
              <w:jc w:val="both"/>
              <w:rPr>
                <w:sz w:val="22"/>
                <w:szCs w:val="22"/>
              </w:rPr>
            </w:pPr>
          </w:p>
          <w:p w:rsidR="003A55D8" w:rsidRPr="00A05017" w:rsidRDefault="0093357B" w:rsidP="008C531F">
            <w:pPr>
              <w:spacing w:line="480" w:lineRule="auto"/>
              <w:ind w:left="-36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436DD" w:rsidRPr="00D74FB2">
              <w:rPr>
                <w:sz w:val="22"/>
                <w:szCs w:val="22"/>
              </w:rPr>
              <w:t xml:space="preserve"> </w:t>
            </w:r>
            <w:r w:rsidR="00A05017" w:rsidRPr="00D74FB2">
              <w:rPr>
                <w:sz w:val="22"/>
                <w:szCs w:val="22"/>
              </w:rPr>
              <w:t>January</w:t>
            </w:r>
            <w:r w:rsidR="003A55D8" w:rsidRPr="00A05017">
              <w:rPr>
                <w:sz w:val="22"/>
                <w:szCs w:val="22"/>
              </w:rPr>
              <w:t xml:space="preserve"> 2015</w:t>
            </w:r>
          </w:p>
          <w:p w:rsidR="003A55D8" w:rsidRPr="00A05017" w:rsidRDefault="003A55D8" w:rsidP="003A55D8">
            <w:pPr>
              <w:ind w:left="-36" w:right="-108"/>
              <w:jc w:val="both"/>
              <w:rPr>
                <w:sz w:val="22"/>
                <w:szCs w:val="22"/>
              </w:rPr>
            </w:pPr>
          </w:p>
          <w:p w:rsidR="003A55D8" w:rsidRPr="00A05017" w:rsidRDefault="003A55D8" w:rsidP="003A55D8">
            <w:pPr>
              <w:ind w:left="-36" w:right="-108"/>
              <w:jc w:val="both"/>
              <w:rPr>
                <w:sz w:val="22"/>
                <w:szCs w:val="22"/>
                <w:lang w:val="en-GB"/>
              </w:rPr>
            </w:pPr>
            <w:r w:rsidRPr="00A05017">
              <w:rPr>
                <w:sz w:val="22"/>
                <w:szCs w:val="22"/>
                <w:lang w:val="en-GB"/>
              </w:rPr>
              <w:t>Original: English</w:t>
            </w:r>
          </w:p>
        </w:tc>
      </w:tr>
    </w:tbl>
    <w:p w:rsidR="003A55D8" w:rsidRPr="007C5719" w:rsidRDefault="003A55D8" w:rsidP="003A55D8">
      <w:pPr>
        <w:spacing w:line="228" w:lineRule="auto"/>
        <w:jc w:val="both"/>
        <w:rPr>
          <w:spacing w:val="-4"/>
          <w:sz w:val="22"/>
          <w:szCs w:val="22"/>
        </w:rPr>
      </w:pPr>
      <w:r w:rsidRPr="007C5719">
        <w:rPr>
          <w:spacing w:val="-4"/>
          <w:sz w:val="22"/>
          <w:szCs w:val="22"/>
        </w:rPr>
        <w:t xml:space="preserve">Second Meeting of the Signatories </w:t>
      </w:r>
    </w:p>
    <w:p w:rsidR="003A55D8" w:rsidRPr="00D74FB2" w:rsidRDefault="003A55D8" w:rsidP="003A55D8">
      <w:pPr>
        <w:spacing w:line="228" w:lineRule="auto"/>
        <w:jc w:val="both"/>
        <w:rPr>
          <w:iCs/>
          <w:sz w:val="22"/>
          <w:szCs w:val="22"/>
          <w:lang w:val="es-ES"/>
        </w:rPr>
      </w:pPr>
      <w:r w:rsidRPr="00D74FB2">
        <w:rPr>
          <w:bCs/>
          <w:sz w:val="22"/>
          <w:szCs w:val="22"/>
          <w:lang w:val="es-ES"/>
        </w:rPr>
        <w:t xml:space="preserve">San José, Costa Rica, 15-19 </w:t>
      </w:r>
      <w:r w:rsidRPr="00972667">
        <w:rPr>
          <w:bCs/>
          <w:sz w:val="22"/>
          <w:szCs w:val="22"/>
          <w:lang w:val="es-ES"/>
        </w:rPr>
        <w:t>February</w:t>
      </w:r>
      <w:r w:rsidRPr="00D74FB2">
        <w:rPr>
          <w:bCs/>
          <w:sz w:val="22"/>
          <w:szCs w:val="22"/>
          <w:lang w:val="es-ES"/>
        </w:rPr>
        <w:t xml:space="preserve"> 2016</w:t>
      </w:r>
    </w:p>
    <w:p w:rsidR="003A55D8" w:rsidRPr="007C5719" w:rsidRDefault="003A55D8" w:rsidP="003A55D8">
      <w:pPr>
        <w:jc w:val="both"/>
        <w:rPr>
          <w:sz w:val="22"/>
          <w:szCs w:val="22"/>
        </w:rPr>
      </w:pPr>
      <w:r w:rsidRPr="007C5719">
        <w:rPr>
          <w:sz w:val="22"/>
          <w:szCs w:val="22"/>
        </w:rPr>
        <w:t xml:space="preserve">Agenda Item </w:t>
      </w:r>
      <w:r w:rsidR="009C2093" w:rsidRPr="00A05017">
        <w:rPr>
          <w:sz w:val="22"/>
          <w:szCs w:val="22"/>
        </w:rPr>
        <w:t>9</w:t>
      </w:r>
    </w:p>
    <w:p w:rsidR="00DF2E68" w:rsidRPr="00FD56E6" w:rsidRDefault="00DF2E68" w:rsidP="00804AA2">
      <w:pPr>
        <w:jc w:val="both"/>
        <w:rPr>
          <w:sz w:val="22"/>
          <w:szCs w:val="22"/>
          <w:lang w:val="en-GB"/>
        </w:rPr>
      </w:pPr>
    </w:p>
    <w:p w:rsidR="00DF2E68" w:rsidRPr="00FD56E6" w:rsidRDefault="00DF2E68" w:rsidP="00804AA2">
      <w:pPr>
        <w:jc w:val="both"/>
        <w:rPr>
          <w:sz w:val="22"/>
          <w:szCs w:val="22"/>
          <w:lang w:val="en-GB"/>
        </w:rPr>
      </w:pPr>
    </w:p>
    <w:p w:rsidR="00DF2E68" w:rsidRPr="00FD56E6" w:rsidRDefault="00DF2E68" w:rsidP="00804AA2">
      <w:pPr>
        <w:jc w:val="both"/>
        <w:rPr>
          <w:sz w:val="22"/>
          <w:szCs w:val="22"/>
          <w:lang w:val="en-GB"/>
        </w:rPr>
      </w:pPr>
    </w:p>
    <w:p w:rsidR="008C531F" w:rsidRPr="008C531F" w:rsidRDefault="008C531F" w:rsidP="008C531F">
      <w:pPr>
        <w:jc w:val="center"/>
        <w:rPr>
          <w:b/>
          <w:bCs/>
          <w:sz w:val="22"/>
          <w:szCs w:val="22"/>
        </w:rPr>
      </w:pPr>
      <w:r w:rsidRPr="008C531F">
        <w:rPr>
          <w:b/>
          <w:bCs/>
          <w:sz w:val="22"/>
          <w:szCs w:val="22"/>
        </w:rPr>
        <w:t>DRAFT PROGRAMME OF WORK (2016-2018)</w:t>
      </w:r>
    </w:p>
    <w:p w:rsidR="008C531F" w:rsidRPr="008C531F" w:rsidRDefault="008C531F" w:rsidP="008C531F">
      <w:pPr>
        <w:jc w:val="center"/>
        <w:rPr>
          <w:b/>
          <w:bCs/>
          <w:sz w:val="22"/>
          <w:szCs w:val="22"/>
        </w:rPr>
      </w:pPr>
      <w:r w:rsidRPr="008C531F">
        <w:rPr>
          <w:b/>
          <w:bCs/>
          <w:sz w:val="22"/>
          <w:szCs w:val="22"/>
        </w:rPr>
        <w:t xml:space="preserve">TO SUPPORT THE IMPLEMENTATION OF THE MEMORANDUM OF UNDERSTANDING ON THE CONSERVATION OF MIGRATORY SHARKS </w:t>
      </w:r>
    </w:p>
    <w:p w:rsidR="00BE411F" w:rsidRPr="0058661E" w:rsidRDefault="00BE411F" w:rsidP="00C433CB">
      <w:pPr>
        <w:jc w:val="center"/>
        <w:rPr>
          <w:b/>
          <w:bCs/>
          <w:sz w:val="24"/>
        </w:rPr>
      </w:pPr>
    </w:p>
    <w:p w:rsidR="00573DA3" w:rsidRPr="0058661E" w:rsidRDefault="00C433CB" w:rsidP="00AE6178">
      <w:pPr>
        <w:jc w:val="center"/>
        <w:rPr>
          <w:bCs/>
          <w:i/>
          <w:sz w:val="24"/>
        </w:rPr>
      </w:pPr>
      <w:r w:rsidRPr="0058661E">
        <w:rPr>
          <w:bCs/>
          <w:i/>
          <w:sz w:val="24"/>
        </w:rPr>
        <w:t>(Prepared by the Secretariat)</w:t>
      </w:r>
    </w:p>
    <w:p w:rsidR="00FC0899" w:rsidRPr="0058661E" w:rsidRDefault="00FC0899" w:rsidP="00BD241F">
      <w:pPr>
        <w:jc w:val="center"/>
        <w:rPr>
          <w:bCs/>
          <w:i/>
          <w:sz w:val="24"/>
        </w:rPr>
      </w:pPr>
    </w:p>
    <w:p w:rsidR="00FC0899" w:rsidRPr="0058661E" w:rsidRDefault="00FC0899" w:rsidP="00BD241F">
      <w:pPr>
        <w:jc w:val="center"/>
        <w:rPr>
          <w:bCs/>
          <w:i/>
          <w:sz w:val="24"/>
        </w:rPr>
      </w:pPr>
    </w:p>
    <w:p w:rsidR="00055688" w:rsidRPr="0058661E" w:rsidRDefault="00055688" w:rsidP="00055688">
      <w:pPr>
        <w:tabs>
          <w:tab w:val="left" w:pos="360"/>
          <w:tab w:val="left" w:pos="720"/>
        </w:tabs>
        <w:spacing w:line="276" w:lineRule="auto"/>
        <w:jc w:val="both"/>
        <w:rPr>
          <w:sz w:val="24"/>
        </w:rPr>
      </w:pPr>
    </w:p>
    <w:p w:rsidR="00157F05" w:rsidRDefault="00157F05" w:rsidP="00157F05">
      <w:pPr>
        <w:pStyle w:val="ColorfulList-Accent11"/>
        <w:rPr>
          <w:sz w:val="24"/>
        </w:rPr>
      </w:pPr>
    </w:p>
    <w:p w:rsidR="000605CD" w:rsidRPr="000605CD" w:rsidRDefault="00157F05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</w:rPr>
      </w:pPr>
      <w:r w:rsidRPr="000605CD">
        <w:rPr>
          <w:sz w:val="24"/>
        </w:rPr>
        <w:t>A draft Programme of Work</w:t>
      </w:r>
      <w:r w:rsidR="000D7B7E">
        <w:rPr>
          <w:sz w:val="24"/>
        </w:rPr>
        <w:t xml:space="preserve"> (PoW)</w:t>
      </w:r>
      <w:r w:rsidRPr="000605CD">
        <w:rPr>
          <w:sz w:val="24"/>
        </w:rPr>
        <w:t xml:space="preserve"> </w:t>
      </w:r>
      <w:r w:rsidR="008F70B9">
        <w:rPr>
          <w:sz w:val="24"/>
        </w:rPr>
        <w:t>has been developed</w:t>
      </w:r>
      <w:r w:rsidRPr="000605CD">
        <w:rPr>
          <w:sz w:val="24"/>
        </w:rPr>
        <w:t xml:space="preserve"> </w:t>
      </w:r>
      <w:r w:rsidR="008F70B9">
        <w:rPr>
          <w:sz w:val="24"/>
        </w:rPr>
        <w:t xml:space="preserve">to provide </w:t>
      </w:r>
      <w:r w:rsidRPr="000605CD">
        <w:rPr>
          <w:sz w:val="24"/>
        </w:rPr>
        <w:t>guidance</w:t>
      </w:r>
      <w:r w:rsidR="008F70B9">
        <w:rPr>
          <w:sz w:val="24"/>
        </w:rPr>
        <w:t xml:space="preserve"> to the</w:t>
      </w:r>
      <w:r w:rsidR="00265F2B">
        <w:rPr>
          <w:sz w:val="24"/>
        </w:rPr>
        <w:t xml:space="preserve"> Signatories, </w:t>
      </w:r>
      <w:r w:rsidR="008F70B9">
        <w:rPr>
          <w:sz w:val="24"/>
        </w:rPr>
        <w:t>the A</w:t>
      </w:r>
      <w:r w:rsidR="00285305">
        <w:rPr>
          <w:sz w:val="24"/>
        </w:rPr>
        <w:t xml:space="preserve">dvisory </w:t>
      </w:r>
      <w:r w:rsidR="008F70B9">
        <w:rPr>
          <w:sz w:val="24"/>
        </w:rPr>
        <w:t>C</w:t>
      </w:r>
      <w:r w:rsidR="00285305">
        <w:rPr>
          <w:sz w:val="24"/>
        </w:rPr>
        <w:t>ommittee</w:t>
      </w:r>
      <w:r w:rsidR="006B4636">
        <w:rPr>
          <w:sz w:val="24"/>
        </w:rPr>
        <w:t xml:space="preserve"> (AC)</w:t>
      </w:r>
      <w:r w:rsidR="008F70B9">
        <w:rPr>
          <w:sz w:val="24"/>
        </w:rPr>
        <w:t xml:space="preserve"> and </w:t>
      </w:r>
      <w:r w:rsidR="00265F2B">
        <w:rPr>
          <w:sz w:val="24"/>
        </w:rPr>
        <w:t>the Secretariat</w:t>
      </w:r>
      <w:r w:rsidR="008F70B9">
        <w:rPr>
          <w:sz w:val="24"/>
        </w:rPr>
        <w:t>,</w:t>
      </w:r>
      <w:r w:rsidRPr="000605CD">
        <w:rPr>
          <w:sz w:val="24"/>
        </w:rPr>
        <w:t xml:space="preserve"> for the next </w:t>
      </w:r>
      <w:r w:rsidR="00701488">
        <w:rPr>
          <w:sz w:val="24"/>
        </w:rPr>
        <w:t>t</w:t>
      </w:r>
      <w:r w:rsidRPr="000605CD">
        <w:rPr>
          <w:sz w:val="24"/>
        </w:rPr>
        <w:t>riennium</w:t>
      </w:r>
      <w:r w:rsidR="00A05017">
        <w:rPr>
          <w:sz w:val="24"/>
        </w:rPr>
        <w:t xml:space="preserve"> 2016-2018. The </w:t>
      </w:r>
      <w:r w:rsidR="000605CD" w:rsidRPr="000605CD">
        <w:rPr>
          <w:sz w:val="24"/>
        </w:rPr>
        <w:t xml:space="preserve">activities of the Conservation Plan </w:t>
      </w:r>
      <w:r w:rsidR="00A05017">
        <w:rPr>
          <w:sz w:val="24"/>
        </w:rPr>
        <w:t xml:space="preserve">and the management mandates of the MOU </w:t>
      </w:r>
      <w:r w:rsidR="00A436DD">
        <w:rPr>
          <w:sz w:val="24"/>
        </w:rPr>
        <w:t xml:space="preserve">have been </w:t>
      </w:r>
      <w:r w:rsidR="00A05017">
        <w:rPr>
          <w:sz w:val="24"/>
        </w:rPr>
        <w:t xml:space="preserve">converted </w:t>
      </w:r>
      <w:r w:rsidR="000605CD" w:rsidRPr="000605CD">
        <w:rPr>
          <w:sz w:val="24"/>
        </w:rPr>
        <w:t>into concrete</w:t>
      </w:r>
      <w:r w:rsidR="00A436DD">
        <w:rPr>
          <w:sz w:val="24"/>
        </w:rPr>
        <w:t>,</w:t>
      </w:r>
      <w:r w:rsidR="000605CD">
        <w:rPr>
          <w:sz w:val="24"/>
        </w:rPr>
        <w:t xml:space="preserve"> applicable</w:t>
      </w:r>
      <w:r w:rsidR="000605CD" w:rsidRPr="000605CD">
        <w:rPr>
          <w:sz w:val="24"/>
        </w:rPr>
        <w:t xml:space="preserve"> </w:t>
      </w:r>
      <w:r w:rsidR="00A05017">
        <w:rPr>
          <w:sz w:val="24"/>
        </w:rPr>
        <w:t>tasks</w:t>
      </w:r>
      <w:r w:rsidR="000605CD" w:rsidRPr="000605CD">
        <w:rPr>
          <w:sz w:val="24"/>
        </w:rPr>
        <w:t xml:space="preserve"> to </w:t>
      </w:r>
      <w:r w:rsidR="00DF357B" w:rsidRPr="000605CD">
        <w:rPr>
          <w:sz w:val="24"/>
        </w:rPr>
        <w:t>conserve and manage migratory</w:t>
      </w:r>
      <w:r w:rsidR="00A05017">
        <w:rPr>
          <w:sz w:val="24"/>
        </w:rPr>
        <w:t xml:space="preserve"> sharks and their habitats in the most effective manner. </w:t>
      </w:r>
    </w:p>
    <w:p w:rsidR="000605CD" w:rsidRPr="000605CD" w:rsidRDefault="000605CD" w:rsidP="000605CD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sz w:val="24"/>
        </w:rPr>
      </w:pPr>
    </w:p>
    <w:p w:rsidR="00285305" w:rsidRPr="00F279F4" w:rsidRDefault="00157F05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</w:rPr>
      </w:pPr>
      <w:r w:rsidRPr="00F279F4">
        <w:rPr>
          <w:sz w:val="24"/>
        </w:rPr>
        <w:t xml:space="preserve">The </w:t>
      </w:r>
      <w:r w:rsidR="006B4636" w:rsidRPr="00F279F4">
        <w:rPr>
          <w:sz w:val="24"/>
        </w:rPr>
        <w:t>draft PoW</w:t>
      </w:r>
      <w:r w:rsidRPr="00F279F4">
        <w:rPr>
          <w:sz w:val="24"/>
        </w:rPr>
        <w:t xml:space="preserve"> </w:t>
      </w:r>
      <w:r w:rsidR="00DF357B" w:rsidRPr="00F279F4">
        <w:rPr>
          <w:sz w:val="24"/>
        </w:rPr>
        <w:t xml:space="preserve">contains priority actions for implementation identified by the </w:t>
      </w:r>
      <w:r w:rsidR="006B4636" w:rsidRPr="00F279F4">
        <w:rPr>
          <w:sz w:val="24"/>
        </w:rPr>
        <w:t>AC</w:t>
      </w:r>
      <w:r w:rsidR="00DF357B" w:rsidRPr="00F279F4">
        <w:rPr>
          <w:sz w:val="24"/>
        </w:rPr>
        <w:t xml:space="preserve">, focusing on </w:t>
      </w:r>
      <w:r w:rsidR="008F70B9" w:rsidRPr="00F279F4">
        <w:rPr>
          <w:sz w:val="24"/>
        </w:rPr>
        <w:t xml:space="preserve">the top </w:t>
      </w:r>
      <w:r w:rsidR="00DF357B" w:rsidRPr="00F279F4">
        <w:rPr>
          <w:sz w:val="24"/>
        </w:rPr>
        <w:t xml:space="preserve">priorities </w:t>
      </w:r>
      <w:r w:rsidR="00265F2B">
        <w:rPr>
          <w:sz w:val="24"/>
        </w:rPr>
        <w:t>of the Conservation Plan, and</w:t>
      </w:r>
      <w:r w:rsidR="008F70B9" w:rsidRPr="00F279F4">
        <w:rPr>
          <w:sz w:val="24"/>
        </w:rPr>
        <w:t xml:space="preserve"> </w:t>
      </w:r>
      <w:r w:rsidR="00DF357B" w:rsidRPr="00F279F4">
        <w:rPr>
          <w:sz w:val="24"/>
        </w:rPr>
        <w:t>as described in document CMS/Sharks/MOS2/Doc.8.3.1</w:t>
      </w:r>
      <w:r w:rsidR="00265F2B">
        <w:rPr>
          <w:sz w:val="24"/>
        </w:rPr>
        <w:t>. In addition the PoW specifies the</w:t>
      </w:r>
      <w:r w:rsidR="00285305" w:rsidRPr="00F279F4">
        <w:rPr>
          <w:sz w:val="24"/>
        </w:rPr>
        <w:t xml:space="preserve"> core</w:t>
      </w:r>
      <w:r w:rsidR="000D7B7E" w:rsidRPr="00F279F4">
        <w:rPr>
          <w:sz w:val="24"/>
        </w:rPr>
        <w:t xml:space="preserve"> functions assigned to the Secretariat </w:t>
      </w:r>
      <w:r w:rsidR="008E1520" w:rsidRPr="00F279F4">
        <w:rPr>
          <w:sz w:val="24"/>
        </w:rPr>
        <w:t xml:space="preserve">and the </w:t>
      </w:r>
      <w:r w:rsidR="006B4636" w:rsidRPr="00F279F4">
        <w:rPr>
          <w:sz w:val="24"/>
        </w:rPr>
        <w:t>AC</w:t>
      </w:r>
      <w:r w:rsidR="008E1520" w:rsidRPr="00F279F4">
        <w:rPr>
          <w:sz w:val="24"/>
        </w:rPr>
        <w:t xml:space="preserve"> in their respective Terms of Reference</w:t>
      </w:r>
      <w:r w:rsidR="00265F2B">
        <w:rPr>
          <w:sz w:val="24"/>
        </w:rPr>
        <w:t xml:space="preserve"> providing a list of concrete tasks and activities</w:t>
      </w:r>
      <w:r w:rsidR="00A05017" w:rsidRPr="00F279F4">
        <w:rPr>
          <w:sz w:val="24"/>
        </w:rPr>
        <w:t xml:space="preserve">. </w:t>
      </w:r>
    </w:p>
    <w:p w:rsidR="00285305" w:rsidRPr="00F279F4" w:rsidRDefault="00285305" w:rsidP="00285305">
      <w:pPr>
        <w:rPr>
          <w:sz w:val="24"/>
        </w:rPr>
      </w:pPr>
    </w:p>
    <w:p w:rsidR="0073229F" w:rsidRPr="00F279F4" w:rsidRDefault="00285305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</w:rPr>
      </w:pPr>
      <w:r w:rsidRPr="00F279F4">
        <w:rPr>
          <w:sz w:val="24"/>
        </w:rPr>
        <w:t xml:space="preserve">A study to identify the priority conservation measures for species listed in Annex 1 of the MOU was concluded to complement the draft PoW </w:t>
      </w:r>
      <w:r w:rsidR="00292300" w:rsidRPr="00F279F4">
        <w:rPr>
          <w:sz w:val="24"/>
        </w:rPr>
        <w:t>(</w:t>
      </w:r>
      <w:r w:rsidRPr="00F279F4">
        <w:rPr>
          <w:sz w:val="24"/>
        </w:rPr>
        <w:t xml:space="preserve">refer to CMS/Sharks/MOS2/Doc.9.2). The detailed priority actions that were identified in this study can be reviewed </w:t>
      </w:r>
      <w:r w:rsidR="00292300" w:rsidRPr="00F279F4">
        <w:rPr>
          <w:sz w:val="24"/>
        </w:rPr>
        <w:t>in</w:t>
      </w:r>
      <w:r w:rsidRPr="00F279F4">
        <w:rPr>
          <w:sz w:val="24"/>
        </w:rPr>
        <w:t xml:space="preserve"> </w:t>
      </w:r>
      <w:r w:rsidR="00F279F4">
        <w:rPr>
          <w:sz w:val="24"/>
        </w:rPr>
        <w:t>CMS/Sharks/MOS2/Inf.11</w:t>
      </w:r>
      <w:r w:rsidRPr="00F279F4">
        <w:rPr>
          <w:sz w:val="24"/>
        </w:rPr>
        <w:t xml:space="preserve"> and are tailored to the species-specific and regional needs. </w:t>
      </w:r>
    </w:p>
    <w:p w:rsidR="0073229F" w:rsidRDefault="0073229F" w:rsidP="0073229F">
      <w:pPr>
        <w:pStyle w:val="ColorfulList-Accent11"/>
        <w:rPr>
          <w:sz w:val="24"/>
        </w:rPr>
      </w:pPr>
    </w:p>
    <w:p w:rsidR="00292300" w:rsidRPr="009B672F" w:rsidRDefault="00EF524E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</w:rPr>
      </w:pPr>
      <w:r w:rsidRPr="009B672F">
        <w:rPr>
          <w:sz w:val="24"/>
        </w:rPr>
        <w:t>The draft</w:t>
      </w:r>
      <w:r w:rsidR="00B43A9D" w:rsidRPr="009B672F">
        <w:rPr>
          <w:sz w:val="24"/>
        </w:rPr>
        <w:t xml:space="preserve"> PoW proposes</w:t>
      </w:r>
      <w:r w:rsidRPr="009B672F">
        <w:rPr>
          <w:sz w:val="24"/>
        </w:rPr>
        <w:t xml:space="preserve"> the establishment of t</w:t>
      </w:r>
      <w:r w:rsidR="0073229F" w:rsidRPr="009B672F">
        <w:rPr>
          <w:sz w:val="24"/>
        </w:rPr>
        <w:t>wo working groups</w:t>
      </w:r>
      <w:r w:rsidR="008A6558" w:rsidRPr="009B672F">
        <w:rPr>
          <w:sz w:val="24"/>
        </w:rPr>
        <w:t xml:space="preserve"> under </w:t>
      </w:r>
      <w:r w:rsidRPr="009B672F">
        <w:rPr>
          <w:sz w:val="24"/>
        </w:rPr>
        <w:t xml:space="preserve">the </w:t>
      </w:r>
      <w:r w:rsidR="006B4636" w:rsidRPr="009B672F">
        <w:rPr>
          <w:sz w:val="24"/>
        </w:rPr>
        <w:t>AC</w:t>
      </w:r>
      <w:r w:rsidRPr="009B672F">
        <w:rPr>
          <w:sz w:val="24"/>
        </w:rPr>
        <w:t xml:space="preserve">. Based on the </w:t>
      </w:r>
      <w:r w:rsidR="008A6558" w:rsidRPr="009B672F">
        <w:rPr>
          <w:sz w:val="24"/>
        </w:rPr>
        <w:t xml:space="preserve">above mentioned </w:t>
      </w:r>
      <w:r w:rsidRPr="009B672F">
        <w:rPr>
          <w:sz w:val="24"/>
        </w:rPr>
        <w:t xml:space="preserve">study on species priorities (CMS/Sharks/MOS2/Doc.9.2) and the activities incorporated in the </w:t>
      </w:r>
      <w:r w:rsidR="006B4636" w:rsidRPr="009B672F">
        <w:rPr>
          <w:sz w:val="24"/>
        </w:rPr>
        <w:t xml:space="preserve">draft </w:t>
      </w:r>
      <w:r w:rsidRPr="009B672F">
        <w:rPr>
          <w:sz w:val="24"/>
        </w:rPr>
        <w:t xml:space="preserve">PoW, the Species Working Group (SWG) </w:t>
      </w:r>
      <w:r w:rsidR="00DE07B2" w:rsidRPr="009B672F">
        <w:rPr>
          <w:sz w:val="24"/>
        </w:rPr>
        <w:t>would</w:t>
      </w:r>
      <w:r w:rsidRPr="009B672F">
        <w:rPr>
          <w:sz w:val="24"/>
        </w:rPr>
        <w:t xml:space="preserve"> </w:t>
      </w:r>
      <w:r w:rsidR="00F44257" w:rsidRPr="009B672F">
        <w:rPr>
          <w:sz w:val="24"/>
        </w:rPr>
        <w:t xml:space="preserve">be composed of scientific experts who will assist the AC in </w:t>
      </w:r>
      <w:r w:rsidRPr="009B672F">
        <w:rPr>
          <w:sz w:val="24"/>
        </w:rPr>
        <w:t>develop</w:t>
      </w:r>
      <w:r w:rsidR="00F44257" w:rsidRPr="009B672F">
        <w:rPr>
          <w:sz w:val="24"/>
        </w:rPr>
        <w:t>ing</w:t>
      </w:r>
      <w:r w:rsidRPr="009B672F">
        <w:rPr>
          <w:sz w:val="24"/>
        </w:rPr>
        <w:t xml:space="preserve"> </w:t>
      </w:r>
      <w:r w:rsidR="009C6448" w:rsidRPr="009B672F">
        <w:rPr>
          <w:sz w:val="24"/>
        </w:rPr>
        <w:t xml:space="preserve">species-specific and regional </w:t>
      </w:r>
      <w:r w:rsidRPr="009B672F">
        <w:rPr>
          <w:sz w:val="24"/>
        </w:rPr>
        <w:t xml:space="preserve">Action Plans and follow the Terms of </w:t>
      </w:r>
      <w:r w:rsidRPr="00F279F4">
        <w:rPr>
          <w:sz w:val="24"/>
        </w:rPr>
        <w:t xml:space="preserve">Reference (see </w:t>
      </w:r>
      <w:r w:rsidR="00292300" w:rsidRPr="00F279F4">
        <w:rPr>
          <w:sz w:val="24"/>
        </w:rPr>
        <w:t>CMS/Sharks/MOS2/Doc.13.2</w:t>
      </w:r>
      <w:r w:rsidRPr="00F279F4">
        <w:rPr>
          <w:sz w:val="24"/>
        </w:rPr>
        <w:t>)</w:t>
      </w:r>
      <w:r w:rsidRPr="009B672F">
        <w:rPr>
          <w:sz w:val="24"/>
        </w:rPr>
        <w:t xml:space="preserve"> established at </w:t>
      </w:r>
      <w:r w:rsidR="00F279F4">
        <w:rPr>
          <w:sz w:val="24"/>
        </w:rPr>
        <w:t>t</w:t>
      </w:r>
      <w:r w:rsidR="006B4636" w:rsidRPr="009B672F">
        <w:rPr>
          <w:sz w:val="24"/>
        </w:rPr>
        <w:t>he First Meeting of the Advisory Committee (</w:t>
      </w:r>
      <w:r w:rsidRPr="009B672F">
        <w:rPr>
          <w:sz w:val="24"/>
        </w:rPr>
        <w:t>AC1</w:t>
      </w:r>
      <w:r w:rsidR="006B4636" w:rsidRPr="009B672F">
        <w:rPr>
          <w:sz w:val="24"/>
        </w:rPr>
        <w:t>)</w:t>
      </w:r>
      <w:r w:rsidRPr="009B672F">
        <w:rPr>
          <w:sz w:val="24"/>
        </w:rPr>
        <w:t>.</w:t>
      </w:r>
      <w:r w:rsidR="009C6448" w:rsidRPr="009B672F">
        <w:rPr>
          <w:sz w:val="24"/>
        </w:rPr>
        <w:t xml:space="preserve"> The Bycatch Working Group (BWG) </w:t>
      </w:r>
      <w:r w:rsidR="00DE07B2" w:rsidRPr="009B672F">
        <w:rPr>
          <w:sz w:val="24"/>
        </w:rPr>
        <w:t>would</w:t>
      </w:r>
      <w:r w:rsidR="00F470E2" w:rsidRPr="009B672F">
        <w:rPr>
          <w:sz w:val="24"/>
        </w:rPr>
        <w:t xml:space="preserve"> develop a </w:t>
      </w:r>
      <w:r w:rsidR="00A436DD">
        <w:rPr>
          <w:sz w:val="24"/>
        </w:rPr>
        <w:t xml:space="preserve">strategy for engaging with </w:t>
      </w:r>
      <w:r w:rsidR="00F470E2" w:rsidRPr="009B672F">
        <w:rPr>
          <w:sz w:val="24"/>
        </w:rPr>
        <w:t>Regional Fisheries Management Organization</w:t>
      </w:r>
      <w:r w:rsidR="00A436DD">
        <w:rPr>
          <w:sz w:val="24"/>
        </w:rPr>
        <w:t>s</w:t>
      </w:r>
      <w:r w:rsidR="00F470E2" w:rsidRPr="009B672F">
        <w:rPr>
          <w:sz w:val="24"/>
        </w:rPr>
        <w:t xml:space="preserve"> (RFMO) with the main objective </w:t>
      </w:r>
      <w:r w:rsidR="00A436DD">
        <w:rPr>
          <w:sz w:val="24"/>
        </w:rPr>
        <w:t>of</w:t>
      </w:r>
      <w:r w:rsidR="00A436DD" w:rsidRPr="009B672F">
        <w:rPr>
          <w:sz w:val="24"/>
        </w:rPr>
        <w:t xml:space="preserve"> </w:t>
      </w:r>
      <w:r w:rsidR="007540F9" w:rsidRPr="009B672F">
        <w:rPr>
          <w:sz w:val="24"/>
        </w:rPr>
        <w:t>support</w:t>
      </w:r>
      <w:r w:rsidR="00A436DD">
        <w:rPr>
          <w:sz w:val="24"/>
        </w:rPr>
        <w:t>ing</w:t>
      </w:r>
      <w:r w:rsidR="007540F9" w:rsidRPr="009B672F">
        <w:rPr>
          <w:sz w:val="24"/>
        </w:rPr>
        <w:t xml:space="preserve"> research and provid</w:t>
      </w:r>
      <w:r w:rsidR="00A436DD">
        <w:rPr>
          <w:sz w:val="24"/>
        </w:rPr>
        <w:t>ing</w:t>
      </w:r>
      <w:r w:rsidR="007540F9" w:rsidRPr="009B672F">
        <w:rPr>
          <w:sz w:val="24"/>
        </w:rPr>
        <w:t xml:space="preserve"> recommendations to modify existing fishing gear and tactics, establishment and effectiveness of </w:t>
      </w:r>
      <w:r w:rsidR="008F6B1B" w:rsidRPr="009B672F">
        <w:rPr>
          <w:sz w:val="24"/>
        </w:rPr>
        <w:t xml:space="preserve">Marine Protected Areas </w:t>
      </w:r>
      <w:r w:rsidR="007540F9" w:rsidRPr="009B672F">
        <w:rPr>
          <w:sz w:val="24"/>
        </w:rPr>
        <w:t xml:space="preserve">or </w:t>
      </w:r>
      <w:r w:rsidR="008F6B1B" w:rsidRPr="009B672F">
        <w:rPr>
          <w:sz w:val="24"/>
        </w:rPr>
        <w:t>develop</w:t>
      </w:r>
      <w:r w:rsidR="007540F9" w:rsidRPr="009B672F">
        <w:rPr>
          <w:sz w:val="24"/>
        </w:rPr>
        <w:t xml:space="preserve"> new technologies to minimize bycatch of sharks.</w:t>
      </w:r>
      <w:r w:rsidR="00F470E2" w:rsidRPr="009B672F">
        <w:rPr>
          <w:sz w:val="24"/>
        </w:rPr>
        <w:t xml:space="preserve"> It </w:t>
      </w:r>
      <w:r w:rsidR="008E2F89" w:rsidRPr="009B672F">
        <w:rPr>
          <w:sz w:val="24"/>
        </w:rPr>
        <w:t>will</w:t>
      </w:r>
      <w:r w:rsidR="00F470E2" w:rsidRPr="009B672F">
        <w:rPr>
          <w:sz w:val="24"/>
        </w:rPr>
        <w:t xml:space="preserve"> </w:t>
      </w:r>
      <w:r w:rsidR="00F470E2" w:rsidRPr="009B672F">
        <w:rPr>
          <w:sz w:val="24"/>
        </w:rPr>
        <w:lastRenderedPageBreak/>
        <w:t xml:space="preserve">also identify priority actions for species and propose joint </w:t>
      </w:r>
      <w:r w:rsidR="00F279F4">
        <w:rPr>
          <w:sz w:val="24"/>
        </w:rPr>
        <w:t>activities</w:t>
      </w:r>
      <w:r w:rsidR="00F470E2" w:rsidRPr="009B672F">
        <w:rPr>
          <w:sz w:val="24"/>
        </w:rPr>
        <w:t xml:space="preserve"> with relevant Regional Seas Convention and RFMO</w:t>
      </w:r>
      <w:r w:rsidR="008E1520" w:rsidRPr="009B672F">
        <w:rPr>
          <w:sz w:val="24"/>
        </w:rPr>
        <w:t>s, as proposed</w:t>
      </w:r>
      <w:r w:rsidR="001932C9" w:rsidRPr="009B672F">
        <w:rPr>
          <w:sz w:val="24"/>
        </w:rPr>
        <w:t xml:space="preserve"> in document CMS/Sharks/MOS2/Doc.11.2. </w:t>
      </w:r>
    </w:p>
    <w:p w:rsidR="00DF357B" w:rsidRPr="00DF357B" w:rsidRDefault="00DF357B" w:rsidP="00DF357B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sz w:val="24"/>
        </w:rPr>
      </w:pPr>
    </w:p>
    <w:p w:rsidR="00292300" w:rsidRPr="00292300" w:rsidRDefault="0023469C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b/>
          <w:i/>
          <w:sz w:val="24"/>
          <w:u w:val="single"/>
        </w:rPr>
      </w:pPr>
      <w:r w:rsidRPr="00983746">
        <w:rPr>
          <w:sz w:val="24"/>
        </w:rPr>
        <w:t xml:space="preserve">The draft </w:t>
      </w:r>
      <w:r w:rsidRPr="00F279F4">
        <w:rPr>
          <w:sz w:val="24"/>
        </w:rPr>
        <w:t>PoW as well as the species</w:t>
      </w:r>
      <w:r w:rsidR="00292300" w:rsidRPr="00F279F4">
        <w:rPr>
          <w:sz w:val="24"/>
        </w:rPr>
        <w:t>-</w:t>
      </w:r>
      <w:r w:rsidRPr="00F279F4">
        <w:rPr>
          <w:sz w:val="24"/>
        </w:rPr>
        <w:t xml:space="preserve">specific priority actions </w:t>
      </w:r>
      <w:r w:rsidR="008E2F89" w:rsidRPr="00F279F4">
        <w:rPr>
          <w:sz w:val="24"/>
        </w:rPr>
        <w:t>will be</w:t>
      </w:r>
      <w:r w:rsidRPr="00F279F4">
        <w:rPr>
          <w:sz w:val="24"/>
        </w:rPr>
        <w:t xml:space="preserve"> discussed </w:t>
      </w:r>
      <w:r w:rsidR="00292300" w:rsidRPr="00F279F4">
        <w:rPr>
          <w:sz w:val="24"/>
        </w:rPr>
        <w:t xml:space="preserve">and prioritized </w:t>
      </w:r>
      <w:r w:rsidRPr="00F279F4">
        <w:rPr>
          <w:sz w:val="24"/>
        </w:rPr>
        <w:t xml:space="preserve">at </w:t>
      </w:r>
      <w:r w:rsidR="006B4636" w:rsidRPr="00F279F4">
        <w:rPr>
          <w:sz w:val="24"/>
        </w:rPr>
        <w:t xml:space="preserve">the </w:t>
      </w:r>
      <w:r w:rsidRPr="00F279F4">
        <w:rPr>
          <w:sz w:val="24"/>
        </w:rPr>
        <w:t>AC1</w:t>
      </w:r>
      <w:r w:rsidR="00292300" w:rsidRPr="00F279F4">
        <w:rPr>
          <w:sz w:val="24"/>
        </w:rPr>
        <w:t xml:space="preserve">.  </w:t>
      </w:r>
      <w:r w:rsidR="00DE07B2" w:rsidRPr="00F279F4">
        <w:rPr>
          <w:sz w:val="24"/>
        </w:rPr>
        <w:t xml:space="preserve">Recommended revisions to the </w:t>
      </w:r>
      <w:r w:rsidR="00292300" w:rsidRPr="00F279F4">
        <w:rPr>
          <w:sz w:val="24"/>
        </w:rPr>
        <w:t>draft of the PoW will become available, immediately after AC1</w:t>
      </w:r>
      <w:r w:rsidR="00AE23C3">
        <w:rPr>
          <w:sz w:val="24"/>
        </w:rPr>
        <w:t>,</w:t>
      </w:r>
      <w:r w:rsidR="00292300" w:rsidRPr="00F279F4">
        <w:rPr>
          <w:sz w:val="24"/>
        </w:rPr>
        <w:t xml:space="preserve"> in</w:t>
      </w:r>
      <w:r w:rsidR="00DE07B2" w:rsidRPr="00F279F4">
        <w:rPr>
          <w:sz w:val="24"/>
        </w:rPr>
        <w:t xml:space="preserve"> document</w:t>
      </w:r>
      <w:r w:rsidR="00292300" w:rsidRPr="00F279F4">
        <w:rPr>
          <w:sz w:val="24"/>
        </w:rPr>
        <w:t xml:space="preserve"> CMS/Sharks/MOS2/Doc.13.2. </w:t>
      </w:r>
    </w:p>
    <w:p w:rsidR="00292300" w:rsidRPr="00292300" w:rsidRDefault="00292300" w:rsidP="00292300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b/>
          <w:i/>
          <w:sz w:val="24"/>
          <w:u w:val="single"/>
        </w:rPr>
      </w:pPr>
    </w:p>
    <w:p w:rsidR="008E2F89" w:rsidRPr="008E2F89" w:rsidRDefault="0023469C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b/>
          <w:i/>
          <w:sz w:val="24"/>
          <w:u w:val="single"/>
        </w:rPr>
      </w:pPr>
      <w:r w:rsidRPr="00983746">
        <w:rPr>
          <w:sz w:val="24"/>
        </w:rPr>
        <w:t>Coupled</w:t>
      </w:r>
      <w:r w:rsidR="00F279F4">
        <w:rPr>
          <w:sz w:val="24"/>
        </w:rPr>
        <w:t xml:space="preserve"> with the</w:t>
      </w:r>
      <w:r w:rsidR="00AE23C3">
        <w:rPr>
          <w:sz w:val="24"/>
        </w:rPr>
        <w:t>se</w:t>
      </w:r>
      <w:r w:rsidRPr="00983746">
        <w:rPr>
          <w:sz w:val="24"/>
        </w:rPr>
        <w:t xml:space="preserve"> recommendations</w:t>
      </w:r>
      <w:r w:rsidR="00AE23C3">
        <w:rPr>
          <w:sz w:val="24"/>
        </w:rPr>
        <w:t xml:space="preserve">, </w:t>
      </w:r>
      <w:r w:rsidRPr="00983746">
        <w:rPr>
          <w:sz w:val="24"/>
        </w:rPr>
        <w:t>this document should be discussed taking into account the limited</w:t>
      </w:r>
      <w:r w:rsidR="00983746" w:rsidRPr="00983746">
        <w:rPr>
          <w:sz w:val="24"/>
        </w:rPr>
        <w:t xml:space="preserve"> financial and staffing</w:t>
      </w:r>
      <w:r w:rsidRPr="00983746">
        <w:rPr>
          <w:sz w:val="24"/>
        </w:rPr>
        <w:t xml:space="preserve"> resources of the Sharks MOU, including th</w:t>
      </w:r>
      <w:r w:rsidR="00292300">
        <w:rPr>
          <w:sz w:val="24"/>
        </w:rPr>
        <w:t xml:space="preserve">e allocation of funds </w:t>
      </w:r>
      <w:r w:rsidRPr="00983746">
        <w:rPr>
          <w:sz w:val="24"/>
        </w:rPr>
        <w:t>and the proposed budget for the next triennium (</w:t>
      </w:r>
      <w:r w:rsidR="00F279F4">
        <w:rPr>
          <w:sz w:val="24"/>
        </w:rPr>
        <w:t xml:space="preserve">refer to </w:t>
      </w:r>
      <w:r w:rsidRPr="00983746">
        <w:rPr>
          <w:sz w:val="24"/>
        </w:rPr>
        <w:t xml:space="preserve">CMS/Sharks/MOS2/Doc.10.1). </w:t>
      </w:r>
    </w:p>
    <w:p w:rsidR="008E2F89" w:rsidRPr="008E2F89" w:rsidRDefault="008E2F89" w:rsidP="008E2F89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b/>
          <w:i/>
          <w:sz w:val="24"/>
          <w:u w:val="single"/>
        </w:rPr>
      </w:pPr>
    </w:p>
    <w:p w:rsidR="002F7FB3" w:rsidRPr="00983746" w:rsidRDefault="00983746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b/>
          <w:i/>
          <w:sz w:val="24"/>
          <w:u w:val="single"/>
        </w:rPr>
      </w:pPr>
      <w:r>
        <w:rPr>
          <w:sz w:val="24"/>
        </w:rPr>
        <w:t>A significant amount of time is required</w:t>
      </w:r>
      <w:r w:rsidR="00A436DD">
        <w:rPr>
          <w:sz w:val="24"/>
        </w:rPr>
        <w:t>,</w:t>
      </w:r>
      <w:r>
        <w:rPr>
          <w:sz w:val="24"/>
        </w:rPr>
        <w:t xml:space="preserve"> particularly from the Secretariat and the Advisory Committee Members, but also from Signa</w:t>
      </w:r>
      <w:r w:rsidR="004C41A2">
        <w:rPr>
          <w:sz w:val="24"/>
        </w:rPr>
        <w:t xml:space="preserve">tories and Cooperating Partners, to implement the activities successfully. </w:t>
      </w:r>
      <w:r w:rsidR="00BA062C">
        <w:rPr>
          <w:sz w:val="24"/>
        </w:rPr>
        <w:t xml:space="preserve">It should also be taken into consideration that the Secretariat and the </w:t>
      </w:r>
      <w:r w:rsidR="00F279F4">
        <w:rPr>
          <w:sz w:val="24"/>
        </w:rPr>
        <w:t>AC</w:t>
      </w:r>
      <w:r w:rsidR="00BA062C">
        <w:rPr>
          <w:sz w:val="24"/>
        </w:rPr>
        <w:t xml:space="preserve"> </w:t>
      </w:r>
      <w:r w:rsidR="008E1520">
        <w:rPr>
          <w:sz w:val="24"/>
        </w:rPr>
        <w:t>require</w:t>
      </w:r>
      <w:r w:rsidR="00BA062C">
        <w:rPr>
          <w:sz w:val="24"/>
        </w:rPr>
        <w:t xml:space="preserve"> support from </w:t>
      </w:r>
      <w:r w:rsidR="00A436DD">
        <w:rPr>
          <w:sz w:val="24"/>
        </w:rPr>
        <w:t>c</w:t>
      </w:r>
      <w:r w:rsidR="00BA062C">
        <w:rPr>
          <w:sz w:val="24"/>
        </w:rPr>
        <w:t xml:space="preserve">onsultants to undertake specific studies which </w:t>
      </w:r>
      <w:r w:rsidR="00A436DD">
        <w:rPr>
          <w:sz w:val="24"/>
        </w:rPr>
        <w:t xml:space="preserve">require </w:t>
      </w:r>
      <w:r w:rsidR="00BA062C">
        <w:rPr>
          <w:sz w:val="24"/>
        </w:rPr>
        <w:t xml:space="preserve">a certain expertise. </w:t>
      </w:r>
      <w:r w:rsidR="00A6237B">
        <w:rPr>
          <w:sz w:val="24"/>
        </w:rPr>
        <w:t>The implementation of certain activities is subject to funding</w:t>
      </w:r>
      <w:r w:rsidR="00A436DD">
        <w:rPr>
          <w:sz w:val="24"/>
        </w:rPr>
        <w:t xml:space="preserve"> being</w:t>
      </w:r>
      <w:r w:rsidR="00A436DD" w:rsidRPr="00A436DD">
        <w:rPr>
          <w:sz w:val="24"/>
        </w:rPr>
        <w:t xml:space="preserve"> </w:t>
      </w:r>
      <w:r w:rsidR="00A436DD">
        <w:rPr>
          <w:sz w:val="24"/>
        </w:rPr>
        <w:t>available</w:t>
      </w:r>
      <w:r w:rsidR="00A6237B">
        <w:rPr>
          <w:sz w:val="24"/>
        </w:rPr>
        <w:t xml:space="preserve">. Signatories may </w:t>
      </w:r>
      <w:r w:rsidR="00A436DD">
        <w:rPr>
          <w:sz w:val="24"/>
        </w:rPr>
        <w:t xml:space="preserve">earmark </w:t>
      </w:r>
      <w:r w:rsidR="00A6237B">
        <w:rPr>
          <w:sz w:val="24"/>
        </w:rPr>
        <w:t xml:space="preserve">voluntary contributions to the implementation of specific activities of the PoW. </w:t>
      </w:r>
    </w:p>
    <w:p w:rsidR="002F7FB3" w:rsidRDefault="002F7FB3" w:rsidP="00BD241F">
      <w:pPr>
        <w:jc w:val="both"/>
        <w:rPr>
          <w:b/>
          <w:i/>
          <w:sz w:val="24"/>
          <w:u w:val="single"/>
        </w:rPr>
      </w:pPr>
    </w:p>
    <w:p w:rsidR="00F71199" w:rsidRPr="0058661E" w:rsidRDefault="00F71199" w:rsidP="00BD241F">
      <w:pPr>
        <w:jc w:val="both"/>
        <w:rPr>
          <w:b/>
          <w:i/>
          <w:sz w:val="24"/>
          <w:u w:val="single"/>
        </w:rPr>
      </w:pPr>
    </w:p>
    <w:p w:rsidR="002F7FB3" w:rsidRPr="0058661E" w:rsidRDefault="002F7FB3" w:rsidP="00BD241F">
      <w:pPr>
        <w:jc w:val="both"/>
        <w:rPr>
          <w:b/>
          <w:i/>
          <w:sz w:val="24"/>
          <w:u w:val="single"/>
        </w:rPr>
      </w:pPr>
      <w:r w:rsidRPr="0058661E">
        <w:rPr>
          <w:b/>
          <w:i/>
          <w:sz w:val="24"/>
          <w:u w:val="single"/>
        </w:rPr>
        <w:t>Action requested:</w:t>
      </w:r>
    </w:p>
    <w:p w:rsidR="002F7FB3" w:rsidRPr="0058661E" w:rsidRDefault="002F7FB3" w:rsidP="00BD241F">
      <w:pPr>
        <w:jc w:val="both"/>
        <w:rPr>
          <w:b/>
          <w:i/>
          <w:sz w:val="24"/>
          <w:u w:val="single"/>
        </w:rPr>
      </w:pPr>
    </w:p>
    <w:p w:rsidR="002F7FB3" w:rsidRDefault="002F7FB3" w:rsidP="00BD241F">
      <w:pPr>
        <w:jc w:val="both"/>
        <w:rPr>
          <w:sz w:val="24"/>
        </w:rPr>
      </w:pPr>
      <w:r w:rsidRPr="0058661E">
        <w:rPr>
          <w:sz w:val="24"/>
        </w:rPr>
        <w:t>The Meeting of the Signatories is invited to:</w:t>
      </w:r>
    </w:p>
    <w:p w:rsidR="008E1520" w:rsidRPr="0058661E" w:rsidRDefault="008E1520" w:rsidP="00BD241F">
      <w:pPr>
        <w:jc w:val="both"/>
        <w:rPr>
          <w:sz w:val="24"/>
        </w:rPr>
      </w:pPr>
    </w:p>
    <w:p w:rsidR="00285305" w:rsidRPr="00285305" w:rsidRDefault="008F6E90" w:rsidP="00B45C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R</w:t>
      </w:r>
      <w:r w:rsidR="008F70B9">
        <w:rPr>
          <w:sz w:val="24"/>
        </w:rPr>
        <w:t>eview</w:t>
      </w:r>
      <w:r>
        <w:rPr>
          <w:sz w:val="24"/>
        </w:rPr>
        <w:t xml:space="preserve"> and approve</w:t>
      </w:r>
      <w:r w:rsidR="008F70B9">
        <w:rPr>
          <w:sz w:val="24"/>
        </w:rPr>
        <w:t xml:space="preserve"> the draft </w:t>
      </w:r>
      <w:r w:rsidR="00C14C6E">
        <w:rPr>
          <w:sz w:val="24"/>
        </w:rPr>
        <w:t xml:space="preserve">2016-2018 </w:t>
      </w:r>
      <w:r w:rsidR="008F70B9">
        <w:rPr>
          <w:sz w:val="24"/>
        </w:rPr>
        <w:t xml:space="preserve">Programme of Work, including </w:t>
      </w:r>
      <w:r w:rsidR="00C14C6E">
        <w:rPr>
          <w:sz w:val="24"/>
        </w:rPr>
        <w:t>the</w:t>
      </w:r>
      <w:r w:rsidR="00292300">
        <w:rPr>
          <w:sz w:val="24"/>
        </w:rPr>
        <w:t xml:space="preserve"> changes and</w:t>
      </w:r>
      <w:r w:rsidR="00C14C6E">
        <w:rPr>
          <w:sz w:val="24"/>
        </w:rPr>
        <w:t xml:space="preserve"> recommendations of the AC1</w:t>
      </w:r>
      <w:r w:rsidR="00285305">
        <w:rPr>
          <w:sz w:val="24"/>
        </w:rPr>
        <w:t xml:space="preserve"> (CMS/Sharks/MOS2/Doc.13.2)</w:t>
      </w:r>
      <w:r w:rsidR="00D74FB2">
        <w:rPr>
          <w:sz w:val="24"/>
        </w:rPr>
        <w:t>;</w:t>
      </w:r>
    </w:p>
    <w:p w:rsidR="00D74FB2" w:rsidRPr="00C14C6E" w:rsidRDefault="00D74FB2" w:rsidP="00D74FB2">
      <w:pPr>
        <w:ind w:left="780"/>
        <w:jc w:val="both"/>
        <w:rPr>
          <w:sz w:val="24"/>
        </w:rPr>
      </w:pPr>
    </w:p>
    <w:p w:rsidR="000B435F" w:rsidRDefault="00C14C6E" w:rsidP="00B45C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Consider the establishment of the Species Working </w:t>
      </w:r>
      <w:r w:rsidR="000B435F">
        <w:rPr>
          <w:sz w:val="24"/>
        </w:rPr>
        <w:t>G</w:t>
      </w:r>
      <w:r>
        <w:rPr>
          <w:sz w:val="24"/>
        </w:rPr>
        <w:t>roup (SWG) and the Bycatch Working Group (BWG)</w:t>
      </w:r>
      <w:r w:rsidR="008E1520">
        <w:rPr>
          <w:sz w:val="24"/>
        </w:rPr>
        <w:t>,</w:t>
      </w:r>
      <w:r w:rsidR="008F6E90">
        <w:rPr>
          <w:sz w:val="24"/>
        </w:rPr>
        <w:t xml:space="preserve"> under</w:t>
      </w:r>
      <w:r w:rsidR="004C41A2">
        <w:rPr>
          <w:sz w:val="24"/>
        </w:rPr>
        <w:t xml:space="preserve"> the Advisory Committee</w:t>
      </w:r>
      <w:r w:rsidR="00292300">
        <w:rPr>
          <w:sz w:val="24"/>
        </w:rPr>
        <w:t>;</w:t>
      </w:r>
    </w:p>
    <w:p w:rsidR="00292300" w:rsidRDefault="00292300" w:rsidP="00292300">
      <w:pPr>
        <w:rPr>
          <w:sz w:val="24"/>
        </w:rPr>
      </w:pPr>
    </w:p>
    <w:p w:rsidR="00B45C51" w:rsidRDefault="00AE23C3" w:rsidP="00B45C51">
      <w:pPr>
        <w:numPr>
          <w:ilvl w:val="0"/>
          <w:numId w:val="2"/>
        </w:numPr>
        <w:jc w:val="both"/>
        <w:rPr>
          <w:sz w:val="24"/>
        </w:rPr>
        <w:sectPr w:rsidR="00B45C51" w:rsidSect="00F71199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endnotePr>
            <w:numFmt w:val="decimal"/>
          </w:endnotePr>
          <w:pgSz w:w="11905" w:h="16837" w:code="9"/>
          <w:pgMar w:top="1411" w:right="1411" w:bottom="1411" w:left="1411" w:header="504" w:footer="504" w:gutter="0"/>
          <w:cols w:space="720"/>
          <w:noEndnote/>
          <w:titlePg/>
          <w:docGrid w:linePitch="272"/>
        </w:sectPr>
      </w:pPr>
      <w:r>
        <w:rPr>
          <w:sz w:val="24"/>
        </w:rPr>
        <w:t>Allocate f</w:t>
      </w:r>
      <w:r w:rsidR="00292300">
        <w:rPr>
          <w:sz w:val="24"/>
        </w:rPr>
        <w:t>unding source</w:t>
      </w:r>
      <w:r w:rsidR="00B45C51">
        <w:rPr>
          <w:sz w:val="24"/>
        </w:rPr>
        <w:t>s to the activities of the PoW.</w:t>
      </w:r>
    </w:p>
    <w:p w:rsidR="00B45C51" w:rsidRDefault="00B45C51" w:rsidP="00B45C51">
      <w:pPr>
        <w:rPr>
          <w:b/>
          <w:sz w:val="28"/>
          <w:szCs w:val="28"/>
        </w:rPr>
      </w:pPr>
    </w:p>
    <w:p w:rsidR="00B45C51" w:rsidRPr="00E177A3" w:rsidRDefault="00B45C51" w:rsidP="00B45C51">
      <w:pPr>
        <w:jc w:val="center"/>
        <w:rPr>
          <w:b/>
          <w:sz w:val="28"/>
          <w:szCs w:val="28"/>
        </w:rPr>
      </w:pPr>
      <w:r w:rsidRPr="00E177A3">
        <w:rPr>
          <w:b/>
          <w:sz w:val="28"/>
          <w:szCs w:val="28"/>
        </w:rPr>
        <w:t>DRAFT PROGRAMME OF WORK (2016-2018)</w:t>
      </w:r>
    </w:p>
    <w:p w:rsidR="00B45C51" w:rsidRDefault="00B45C51" w:rsidP="00C85877">
      <w:pPr>
        <w:jc w:val="center"/>
        <w:rPr>
          <w:b/>
          <w:sz w:val="28"/>
          <w:szCs w:val="28"/>
        </w:rPr>
      </w:pPr>
      <w:r w:rsidRPr="00E177A3">
        <w:rPr>
          <w:b/>
          <w:sz w:val="28"/>
          <w:szCs w:val="28"/>
        </w:rPr>
        <w:t xml:space="preserve">TO SUPPORT THE IMPLEMENTATION OF THE MEMORANDUM OF UNDERSTANDING ON THE </w:t>
      </w:r>
      <w:r>
        <w:rPr>
          <w:b/>
          <w:sz w:val="28"/>
          <w:szCs w:val="28"/>
        </w:rPr>
        <w:t xml:space="preserve">CONSERVATION OF MIGRATORY SHARKS </w:t>
      </w:r>
    </w:p>
    <w:p w:rsidR="00B45C51" w:rsidRDefault="00B45C51" w:rsidP="00B45C51"/>
    <w:p w:rsidR="00B45C51" w:rsidRDefault="00B45C51" w:rsidP="00B45C5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6730"/>
        <w:gridCol w:w="1260"/>
        <w:gridCol w:w="990"/>
        <w:gridCol w:w="1350"/>
        <w:gridCol w:w="1260"/>
        <w:gridCol w:w="1885"/>
      </w:tblGrid>
      <w:tr w:rsidR="00B45C51" w:rsidRPr="00264F21" w:rsidTr="00B81D0B">
        <w:trPr>
          <w:cantSplit/>
          <w:trHeight w:val="706"/>
          <w:tblHeader/>
        </w:trPr>
        <w:tc>
          <w:tcPr>
            <w:tcW w:w="920" w:type="dxa"/>
            <w:shd w:val="clear" w:color="000000" w:fill="95B3D7"/>
            <w:vAlign w:val="center"/>
          </w:tcPr>
          <w:p w:rsidR="00B45C51" w:rsidRPr="00F20F3D" w:rsidRDefault="00B45C51" w:rsidP="00A436DD">
            <w:pPr>
              <w:pStyle w:val="ListParagraph"/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F20F3D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F20F3D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Activity</w:t>
            </w:r>
          </w:p>
          <w:p w:rsidR="00B45C51" w:rsidRPr="00F20F3D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F20F3D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No.</w:t>
            </w:r>
          </w:p>
        </w:tc>
        <w:tc>
          <w:tcPr>
            <w:tcW w:w="6730" w:type="dxa"/>
            <w:shd w:val="clear" w:color="000000" w:fill="95B3D7"/>
            <w:vAlign w:val="center"/>
          </w:tcPr>
          <w:p w:rsidR="00B45C51" w:rsidRPr="00C610CF" w:rsidRDefault="00B45C51" w:rsidP="00A436DD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color w:val="000000"/>
                <w:szCs w:val="20"/>
                <w:lang w:val="en-GB"/>
              </w:rPr>
            </w:pPr>
            <w:r w:rsidRPr="00C610CF">
              <w:rPr>
                <w:rFonts w:asciiTheme="minorHAnsi" w:eastAsia="Calibri" w:hAnsiTheme="minorHAnsi"/>
                <w:b/>
                <w:bCs/>
                <w:color w:val="000000"/>
                <w:szCs w:val="20"/>
                <w:lang w:val="en-GB"/>
              </w:rPr>
              <w:t>Activities</w:t>
            </w:r>
          </w:p>
        </w:tc>
        <w:tc>
          <w:tcPr>
            <w:tcW w:w="1260" w:type="dxa"/>
            <w:shd w:val="clear" w:color="000000" w:fill="95B3D7"/>
            <w:vAlign w:val="center"/>
          </w:tcPr>
          <w:p w:rsidR="00B45C5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264F2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Mandate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1"/>
            </w:r>
          </w:p>
        </w:tc>
        <w:tc>
          <w:tcPr>
            <w:tcW w:w="990" w:type="dxa"/>
            <w:shd w:val="clear" w:color="000000" w:fill="95B3D7"/>
            <w:vAlign w:val="center"/>
          </w:tcPr>
          <w:p w:rsidR="00B45C51" w:rsidRDefault="00B45C5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Priority</w:t>
            </w:r>
          </w:p>
          <w:p w:rsidR="00B45C51" w:rsidRPr="00264F21" w:rsidRDefault="00B45C5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ranking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2"/>
            </w:r>
          </w:p>
        </w:tc>
        <w:tc>
          <w:tcPr>
            <w:tcW w:w="1350" w:type="dxa"/>
            <w:shd w:val="clear" w:color="000000" w:fill="95B3D7"/>
            <w:vAlign w:val="center"/>
          </w:tcPr>
          <w:p w:rsidR="00B45C5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264F21" w:rsidRDefault="00573C09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Time frame</w:t>
            </w:r>
            <w:r w:rsidR="00B45C51"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 </w:t>
            </w:r>
            <w:r w:rsidR="00B45C51"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3"/>
            </w:r>
          </w:p>
        </w:tc>
        <w:tc>
          <w:tcPr>
            <w:tcW w:w="1260" w:type="dxa"/>
            <w:shd w:val="clear" w:color="000000" w:fill="95B3D7"/>
            <w:vAlign w:val="center"/>
          </w:tcPr>
          <w:p w:rsidR="00B45C5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264F2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Responsible entity 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4"/>
            </w:r>
          </w:p>
        </w:tc>
        <w:tc>
          <w:tcPr>
            <w:tcW w:w="1885" w:type="dxa"/>
            <w:shd w:val="clear" w:color="000000" w:fill="95B3D7"/>
            <w:vAlign w:val="center"/>
          </w:tcPr>
          <w:p w:rsidR="00B45C51" w:rsidRDefault="00B45C51" w:rsidP="001C5E47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264F21" w:rsidRDefault="00B45C51" w:rsidP="001C5E47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Funding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5"/>
            </w:r>
          </w:p>
        </w:tc>
      </w:tr>
      <w:tr w:rsidR="00B45C51" w:rsidRPr="002C68FF" w:rsidTr="00B81D0B">
        <w:trPr>
          <w:cantSplit/>
          <w:trHeight w:val="282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B45C51" w:rsidRPr="00F20F3D" w:rsidRDefault="00B45C5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Species Conservation</w:t>
            </w:r>
          </w:p>
        </w:tc>
      </w:tr>
      <w:tr w:rsidR="00506516" w:rsidRPr="00C610CF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3E72E1" w:rsidRDefault="00506516" w:rsidP="005065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Establish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 xml:space="preserve"> a </w:t>
            </w:r>
            <w:r w:rsidRPr="003E72E1">
              <w:rPr>
                <w:rFonts w:asciiTheme="minorHAnsi" w:eastAsia="Calibri" w:hAnsiTheme="minorHAnsi"/>
                <w:b/>
                <w:szCs w:val="20"/>
                <w:lang w:val="en-GB"/>
              </w:rPr>
              <w:t>Species Working Group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(</w:t>
            </w:r>
            <w:r w:rsidRPr="003E72E1">
              <w:rPr>
                <w:rFonts w:asciiTheme="minorHAnsi" w:eastAsia="Calibri" w:hAnsiTheme="minorHAnsi"/>
                <w:b/>
                <w:szCs w:val="20"/>
                <w:lang w:val="en-GB"/>
              </w:rPr>
              <w:t>SWG)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 xml:space="preserve">under the Advisory Committee 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923E60" w:rsidRDefault="00E42B6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</w:t>
            </w:r>
            <w:r w:rsidR="006E3FE3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1 and 2 + Fundraising</w:t>
            </w:r>
          </w:p>
        </w:tc>
      </w:tr>
      <w:tr w:rsidR="00506516" w:rsidRPr="00C610CF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A6A64" w:rsidRDefault="00506516" w:rsidP="005065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>Review and identify species-specific priority research and conservation needs, taking in</w:t>
            </w:r>
            <w:r w:rsidR="00CE0C30">
              <w:rPr>
                <w:rFonts w:asciiTheme="minorHAnsi" w:eastAsia="Calibri" w:hAnsiTheme="minorHAnsi"/>
                <w:szCs w:val="20"/>
                <w:lang w:val="en-GB"/>
              </w:rPr>
              <w:t>to account regional differences</w:t>
            </w: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SWG </w:t>
            </w:r>
          </w:p>
          <w:p w:rsidR="00D52E35" w:rsidRDefault="00D52E35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923E60" w:rsidRDefault="00E42B63" w:rsidP="00E42B63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</w:t>
            </w:r>
            <w:r w:rsidR="006E3FE3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1</w:t>
            </w:r>
            <w:r w:rsidR="006E3FE3">
              <w:rPr>
                <w:rFonts w:asciiTheme="minorHAnsi" w:eastAsia="Calibri" w:hAnsiTheme="minorHAnsi"/>
                <w:szCs w:val="20"/>
                <w:lang w:val="en-GB"/>
              </w:rPr>
              <w:t xml:space="preserve"> and 2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+ Fundraising</w:t>
            </w:r>
          </w:p>
        </w:tc>
      </w:tr>
      <w:tr w:rsidR="00506516" w:rsidRPr="00C610CF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A6A64" w:rsidRDefault="00506516" w:rsidP="005065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6E536A">
              <w:rPr>
                <w:rFonts w:asciiTheme="minorHAnsi" w:eastAsia="Calibri" w:hAnsiTheme="minorHAnsi"/>
                <w:szCs w:val="20"/>
                <w:lang w:val="en-GB"/>
              </w:rPr>
              <w:t xml:space="preserve">Review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new </w:t>
            </w:r>
            <w:r w:rsidRPr="006E536A">
              <w:rPr>
                <w:rFonts w:asciiTheme="minorHAnsi" w:eastAsia="Calibri" w:hAnsiTheme="minorHAnsi"/>
                <w:szCs w:val="20"/>
                <w:lang w:val="en-GB"/>
              </w:rPr>
              <w:t xml:space="preserve">information on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negative </w:t>
            </w:r>
            <w:r w:rsidRPr="006E536A">
              <w:rPr>
                <w:rFonts w:asciiTheme="minorHAnsi" w:eastAsia="Calibri" w:hAnsiTheme="minorHAnsi"/>
                <w:szCs w:val="20"/>
                <w:lang w:val="en-GB"/>
              </w:rPr>
              <w:t xml:space="preserve">impacts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on</w:t>
            </w:r>
            <w:r w:rsidRPr="006E536A">
              <w:rPr>
                <w:rFonts w:asciiTheme="minorHAnsi" w:eastAsia="Calibri" w:hAnsiTheme="minorHAnsi"/>
                <w:szCs w:val="20"/>
                <w:lang w:val="en-GB"/>
              </w:rPr>
              <w:t xml:space="preserve"> sharks, best practices and guidelines. Make recommendations to Signatories and other relevant authorities for further action.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6E536A">
              <w:rPr>
                <w:rFonts w:asciiTheme="minorHAnsi" w:eastAsia="Calibri" w:hAnsiTheme="minorHAnsi"/>
                <w:szCs w:val="20"/>
                <w:lang w:val="en-GB"/>
              </w:rPr>
              <w:t>1.6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6E536A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SWG </w:t>
            </w:r>
          </w:p>
          <w:p w:rsidR="00D52E35" w:rsidRDefault="00D52E35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923E60" w:rsidRDefault="00E42B6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</w:t>
            </w:r>
            <w:r w:rsidR="006E3FE3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1</w:t>
            </w:r>
            <w:r w:rsidR="006E3FE3">
              <w:rPr>
                <w:rFonts w:asciiTheme="minorHAnsi" w:eastAsia="Calibri" w:hAnsiTheme="minorHAnsi"/>
                <w:szCs w:val="20"/>
                <w:lang w:val="en-GB"/>
              </w:rPr>
              <w:t xml:space="preserve"> and 2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+ Fundraising</w:t>
            </w:r>
          </w:p>
        </w:tc>
      </w:tr>
      <w:tr w:rsidR="00506516" w:rsidRPr="00C610CF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>Convene a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Pr="003E72E1">
              <w:rPr>
                <w:rFonts w:asciiTheme="minorHAnsi" w:eastAsia="Calibri" w:hAnsiTheme="minorHAnsi"/>
                <w:b/>
                <w:szCs w:val="20"/>
                <w:lang w:val="en-GB"/>
              </w:rPr>
              <w:t>SWG workshop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to develop </w:t>
            </w:r>
            <w:r w:rsidRPr="00DA6A64">
              <w:rPr>
                <w:rFonts w:asciiTheme="minorHAnsi" w:eastAsia="Calibri" w:hAnsiTheme="minorHAnsi"/>
                <w:b/>
                <w:szCs w:val="20"/>
                <w:lang w:val="en-GB"/>
              </w:rPr>
              <w:t>species-specific Action Plans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: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9C28ED">
              <w:rPr>
                <w:rFonts w:asciiTheme="minorHAnsi" w:eastAsia="Calibri" w:hAnsiTheme="minorHAnsi"/>
                <w:szCs w:val="20"/>
                <w:lang w:val="en-GB"/>
              </w:rPr>
              <w:t>Compile, review and incorporate already existing Conservation strategies into Action Plans (e.g IUCN SSG Sawfish Conservation Strategy and Devil and Manta Conservation Strategy)</w:t>
            </w:r>
          </w:p>
          <w:p w:rsidR="00506516" w:rsidRPr="009C28ED" w:rsidRDefault="00506516" w:rsidP="00506516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79229B">
              <w:rPr>
                <w:rFonts w:asciiTheme="minorHAnsi" w:eastAsia="Calibri" w:hAnsiTheme="minorHAnsi"/>
                <w:szCs w:val="20"/>
                <w:lang w:val="en-GB"/>
              </w:rPr>
              <w:t xml:space="preserve">Refer to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CMS/Sharks/</w:t>
            </w:r>
            <w:r w:rsidRPr="0079229B">
              <w:rPr>
                <w:rFonts w:asciiTheme="minorHAnsi" w:eastAsia="Calibri" w:hAnsiTheme="minorHAnsi"/>
                <w:szCs w:val="20"/>
                <w:lang w:val="en-GB"/>
              </w:rPr>
              <w:t xml:space="preserve">MOS2/Doc.9.2 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1.7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2017 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SWG 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923E60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 1 + Fundraising</w:t>
            </w:r>
          </w:p>
        </w:tc>
      </w:tr>
      <w:tr w:rsidR="00506516" w:rsidRPr="00C610CF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3E72E1" w:rsidRDefault="00506516" w:rsidP="005065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Provide recommendations to the AC and produce reports on activities to AC meetings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SWG ToR 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C0873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As required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2C087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SWG</w:t>
            </w:r>
          </w:p>
        </w:tc>
        <w:tc>
          <w:tcPr>
            <w:tcW w:w="1885" w:type="dxa"/>
            <w:vAlign w:val="center"/>
          </w:tcPr>
          <w:p w:rsidR="00506516" w:rsidRPr="00923E60" w:rsidRDefault="006E3FE3" w:rsidP="006E3FE3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1C5E47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923E60">
              <w:rPr>
                <w:rFonts w:asciiTheme="minorHAnsi" w:eastAsia="Calibri" w:hAnsiTheme="minorHAnsi"/>
                <w:szCs w:val="20"/>
                <w:lang w:val="en-GB"/>
              </w:rPr>
              <w:t xml:space="preserve">Facilitate communication and support Signatories in the identification of regional and local research projects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 regularly with Focal Points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Based on the outcomes of the Species-specific Action Plans (</w:t>
            </w:r>
            <w:r w:rsidRPr="007D51A5">
              <w:rPr>
                <w:rFonts w:asciiTheme="minorHAnsi" w:eastAsia="Calibri" w:hAnsiTheme="minorHAnsi"/>
                <w:i/>
                <w:szCs w:val="20"/>
                <w:lang w:val="en-GB"/>
              </w:rPr>
              <w:t>Activity 1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), communicate to focal points relevant activities to be implemented in their region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Seek funding </w:t>
            </w:r>
            <w:r w:rsidRPr="00573C09">
              <w:rPr>
                <w:rFonts w:asciiTheme="minorHAnsi" w:eastAsia="Calibri" w:hAnsiTheme="minorHAnsi"/>
                <w:szCs w:val="20"/>
                <w:lang w:val="en-GB"/>
              </w:rPr>
              <w:t xml:space="preserve">opportunities (refer to </w:t>
            </w:r>
            <w:r w:rsidRPr="0017184C">
              <w:rPr>
                <w:rFonts w:asciiTheme="minorHAnsi" w:eastAsia="Calibri" w:hAnsiTheme="minorHAnsi"/>
                <w:szCs w:val="20"/>
                <w:lang w:val="en-GB"/>
              </w:rPr>
              <w:t xml:space="preserve">activity </w:t>
            </w:r>
            <w:r w:rsidR="009F179E">
              <w:rPr>
                <w:rFonts w:asciiTheme="minorHAnsi" w:eastAsia="Calibri" w:hAnsiTheme="minorHAnsi"/>
                <w:szCs w:val="20"/>
                <w:lang w:val="en-GB"/>
              </w:rPr>
              <w:t>70</w:t>
            </w:r>
            <w:r w:rsidRPr="0017184C">
              <w:rPr>
                <w:rFonts w:asciiTheme="minorHAnsi" w:eastAsia="Calibri" w:hAnsiTheme="minorHAnsi"/>
                <w:szCs w:val="20"/>
                <w:lang w:val="en-GB"/>
              </w:rPr>
              <w:t>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  <w:p w:rsidR="0093357B" w:rsidRPr="006E536A" w:rsidRDefault="0093357B" w:rsidP="0093357B">
            <w:pPr>
              <w:pStyle w:val="ListParagraph"/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3E60">
              <w:rPr>
                <w:rFonts w:asciiTheme="minorHAnsi" w:eastAsia="Calibri" w:hAnsiTheme="minorHAnsi"/>
                <w:szCs w:val="20"/>
                <w:lang w:val="en-GB"/>
              </w:rPr>
              <w:t>1.2</w:t>
            </w:r>
          </w:p>
          <w:p w:rsidR="00506516" w:rsidRPr="00923E60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923E60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923E60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923E60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vAlign w:val="center"/>
          </w:tcPr>
          <w:p w:rsidR="00506516" w:rsidRPr="00EA106E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357B" w:rsidRDefault="00506516" w:rsidP="0063655B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 xml:space="preserve">When instructed </w:t>
            </w:r>
            <w:r w:rsidR="0017184C">
              <w:rPr>
                <w:rFonts w:asciiTheme="minorHAnsi" w:eastAsia="Calibri" w:hAnsiTheme="minorHAnsi"/>
                <w:szCs w:val="20"/>
                <w:lang w:val="en-GB"/>
              </w:rPr>
              <w:t xml:space="preserve">by Signatories </w:t>
            </w: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 xml:space="preserve">to do so, identify or develop suitable </w:t>
            </w:r>
            <w:r w:rsidR="0017184C">
              <w:rPr>
                <w:rFonts w:asciiTheme="minorHAnsi" w:eastAsia="Calibri" w:hAnsiTheme="minorHAnsi"/>
                <w:szCs w:val="20"/>
                <w:lang w:val="en-GB"/>
              </w:rPr>
              <w:t xml:space="preserve">conservation </w:t>
            </w: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>proj</w:t>
            </w:r>
            <w:r w:rsidR="0017184C">
              <w:rPr>
                <w:rFonts w:asciiTheme="minorHAnsi" w:eastAsia="Calibri" w:hAnsiTheme="minorHAnsi"/>
                <w:szCs w:val="20"/>
                <w:lang w:val="en-GB"/>
              </w:rPr>
              <w:t>ects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>, partners for implementation and manage Funding Agreements</w:t>
            </w:r>
          </w:p>
          <w:p w:rsidR="0093357B" w:rsidRPr="00DA6A64" w:rsidRDefault="0093357B" w:rsidP="0063655B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1.2 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511465">
              <w:rPr>
                <w:rFonts w:asciiTheme="minorHAnsi" w:eastAsia="Calibri" w:hAnsiTheme="minorHAnsi"/>
                <w:szCs w:val="20"/>
                <w:lang w:val="en-GB"/>
              </w:rPr>
              <w:t>1.3</w:t>
            </w:r>
          </w:p>
          <w:p w:rsidR="00506516" w:rsidRPr="0051146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11465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11465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11465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506516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F20F3D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33B7">
              <w:rPr>
                <w:rFonts w:asciiTheme="minorHAnsi" w:eastAsia="Calibri" w:hAnsiTheme="minorHAnsi"/>
                <w:b/>
                <w:szCs w:val="20"/>
                <w:lang w:val="en-GB"/>
              </w:rPr>
              <w:t>Bycatch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927E5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F8051A">
              <w:rPr>
                <w:rFonts w:asciiTheme="minorHAnsi" w:eastAsia="Calibri" w:hAnsiTheme="minorHAnsi"/>
                <w:szCs w:val="20"/>
                <w:lang w:val="en-GB"/>
              </w:rPr>
              <w:t xml:space="preserve">Establish a </w:t>
            </w:r>
            <w:r w:rsidRPr="00F8051A">
              <w:rPr>
                <w:rFonts w:asciiTheme="minorHAnsi" w:eastAsia="Calibri" w:hAnsiTheme="minorHAnsi"/>
                <w:b/>
                <w:szCs w:val="20"/>
                <w:lang w:val="en-GB"/>
              </w:rPr>
              <w:t xml:space="preserve"> Bycatch Working Group </w:t>
            </w:r>
            <w:r w:rsidRPr="00F8051A">
              <w:rPr>
                <w:rFonts w:asciiTheme="minorHAnsi" w:eastAsia="Calibri" w:hAnsiTheme="minorHAnsi"/>
                <w:szCs w:val="20"/>
                <w:lang w:val="en-GB"/>
              </w:rPr>
              <w:t>(</w:t>
            </w:r>
            <w:r w:rsidRPr="00F8051A">
              <w:rPr>
                <w:rFonts w:asciiTheme="minorHAnsi" w:eastAsia="Calibri" w:hAnsiTheme="minorHAnsi"/>
                <w:b/>
                <w:szCs w:val="20"/>
                <w:lang w:val="en-GB"/>
              </w:rPr>
              <w:t>BWG</w:t>
            </w:r>
            <w:r w:rsidRPr="00E927E5">
              <w:rPr>
                <w:rFonts w:asciiTheme="minorHAnsi" w:eastAsia="Calibri" w:hAnsiTheme="minorHAnsi"/>
                <w:b/>
                <w:szCs w:val="20"/>
                <w:lang w:val="en-GB"/>
              </w:rPr>
              <w:t>)</w:t>
            </w: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under the Advisory Committee </w:t>
            </w:r>
          </w:p>
          <w:p w:rsidR="00506516" w:rsidRPr="005C33B7" w:rsidRDefault="00506516" w:rsidP="00506516">
            <w:pPr>
              <w:widowControl/>
              <w:tabs>
                <w:tab w:val="center" w:pos="2733"/>
              </w:tabs>
              <w:autoSpaceDE/>
              <w:autoSpaceDN/>
              <w:adjustRightInd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4100DE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1.6</w:t>
            </w:r>
          </w:p>
          <w:p w:rsidR="00506516" w:rsidRPr="004100DE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:rsidR="00506516" w:rsidRPr="00925209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 w:rsidRP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BF68C5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2016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100D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632731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100DE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Convene a </w:t>
            </w:r>
            <w:r w:rsidRPr="000B309D">
              <w:rPr>
                <w:rFonts w:asciiTheme="minorHAnsi" w:eastAsia="Calibri" w:hAnsiTheme="minorHAnsi"/>
                <w:b/>
                <w:szCs w:val="20"/>
                <w:lang w:val="en-GB"/>
              </w:rPr>
              <w:t>BWG Workshop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to develop a Regional Fisheries Management Organization (RFMO) Engagement Strategy, including the elaboration of joint activities</w:t>
            </w:r>
            <w:r w:rsidRPr="00194E96">
              <w:rPr>
                <w:rFonts w:asciiTheme="minorHAnsi" w:eastAsia="Calibri" w:hAnsiTheme="minorHAnsi"/>
                <w:szCs w:val="20"/>
                <w:lang w:val="en-GB"/>
              </w:rPr>
              <w:t xml:space="preserve"> (Refer to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CMS/Sharks/</w:t>
            </w:r>
            <w:r w:rsidRPr="00194E96">
              <w:rPr>
                <w:rFonts w:asciiTheme="minorHAnsi" w:eastAsia="Calibri" w:hAnsiTheme="minorHAnsi"/>
                <w:szCs w:val="20"/>
                <w:lang w:val="en-GB"/>
              </w:rPr>
              <w:t>MOS2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/</w:t>
            </w:r>
            <w:r w:rsidRPr="00194E96">
              <w:rPr>
                <w:rFonts w:asciiTheme="minorHAnsi" w:eastAsia="Calibri" w:hAnsiTheme="minorHAnsi"/>
                <w:szCs w:val="20"/>
                <w:lang w:val="en-GB"/>
              </w:rPr>
              <w:t>Doc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.</w:t>
            </w:r>
            <w:r w:rsidRPr="00194E96">
              <w:rPr>
                <w:rFonts w:asciiTheme="minorHAnsi" w:eastAsia="Calibri" w:hAnsiTheme="minorHAnsi"/>
                <w:szCs w:val="20"/>
                <w:lang w:val="en-GB"/>
              </w:rPr>
              <w:t>11.2)</w:t>
            </w:r>
          </w:p>
        </w:tc>
        <w:tc>
          <w:tcPr>
            <w:tcW w:w="1260" w:type="dxa"/>
            <w:vAlign w:val="center"/>
          </w:tcPr>
          <w:p w:rsidR="0017184C" w:rsidRDefault="0017184C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III</w:t>
            </w:r>
          </w:p>
          <w:p w:rsidR="00506516" w:rsidRPr="004100DE" w:rsidRDefault="0017184C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15.1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 w:rsidRP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1C71" w:rsidRPr="00BF68C5" w:rsidRDefault="00EB1C71" w:rsidP="00EB1C7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653150" w:rsidRDefault="00653150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653150" w:rsidRDefault="00653150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EA106E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>udget s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cenario 1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>Review new information on bycatch of sharks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p</w:t>
            </w:r>
            <w:r w:rsidRPr="008A5F13">
              <w:rPr>
                <w:rFonts w:asciiTheme="minorHAnsi" w:eastAsia="Calibri" w:hAnsiTheme="minorHAnsi"/>
                <w:szCs w:val="20"/>
                <w:lang w:val="en-GB"/>
              </w:rPr>
              <w:t>ost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-</w:t>
            </w:r>
            <w:r w:rsidRPr="008A5F13">
              <w:rPr>
                <w:rFonts w:asciiTheme="minorHAnsi" w:eastAsia="Calibri" w:hAnsiTheme="minorHAnsi"/>
                <w:szCs w:val="20"/>
                <w:lang w:val="en-GB"/>
              </w:rPr>
              <w:t>release mortality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studies to assess efficiency of management </w:t>
            </w:r>
          </w:p>
          <w:p w:rsidR="00506516" w:rsidRPr="002978AF" w:rsidRDefault="00506516" w:rsidP="00B81D0B">
            <w:pPr>
              <w:pStyle w:val="ListParagraph"/>
              <w:widowControl/>
              <w:numPr>
                <w:ilvl w:val="0"/>
                <w:numId w:val="16"/>
              </w:numPr>
              <w:tabs>
                <w:tab w:val="center" w:pos="2733"/>
              </w:tabs>
              <w:autoSpaceDE/>
              <w:autoSpaceDN/>
              <w:adjustRightInd/>
              <w:ind w:left="733"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Make recommendations to Signatories and other relevant authorities for further action.</w:t>
            </w:r>
          </w:p>
          <w:p w:rsidR="00506516" w:rsidRPr="0017184C" w:rsidRDefault="00506516" w:rsidP="0017184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733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Seek opportunities to fund and support continued studies to determine the post-release mortality of commercially exploited sharks at a regional level and to improve the collection of data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1.6</w:t>
            </w:r>
          </w:p>
          <w:p w:rsidR="00506516" w:rsidRPr="00E927E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4.5</w:t>
            </w:r>
          </w:p>
          <w:p w:rsidR="00506516" w:rsidRPr="00E927E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:rsidR="00506516" w:rsidRPr="00E927E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 w:rsidRP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BF68C5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BWG </w:t>
            </w:r>
          </w:p>
          <w:p w:rsidR="00506516" w:rsidRPr="004100D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B81D0B" w:rsidRPr="006E3FE3">
              <w:rPr>
                <w:rFonts w:asciiTheme="minorHAnsi" w:eastAsia="Calibri" w:hAnsiTheme="minorHAnsi"/>
                <w:szCs w:val="20"/>
                <w:lang w:val="en-GB"/>
              </w:rPr>
              <w:t>udget</w:t>
            </w:r>
            <w:r w:rsidR="00B81D0B">
              <w:rPr>
                <w:rFonts w:asciiTheme="minorHAnsi" w:eastAsia="Calibri" w:hAnsiTheme="minorHAnsi"/>
                <w:szCs w:val="20"/>
                <w:lang w:val="en-GB"/>
              </w:rPr>
              <w:t xml:space="preserve"> scenario 1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F26C29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 xml:space="preserve">Coordinate with fisheries specialists, RFMOs and the relevant Stakeholders to develop and adopt </w:t>
            </w:r>
            <w:r w:rsidRPr="0095452B">
              <w:rPr>
                <w:rFonts w:asciiTheme="minorHAnsi" w:eastAsia="Calibri" w:hAnsiTheme="minorHAnsi"/>
                <w:szCs w:val="20"/>
                <w:lang w:val="en-GB"/>
              </w:rPr>
              <w:t>a standard protocol for fisheries data collection and monitoring, with the</w:t>
            </w: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 xml:space="preserve"> overall aim to improve species-specific reporting of catch and landing and validation of data for short and long-term analysis. </w:t>
            </w:r>
          </w:p>
        </w:tc>
        <w:tc>
          <w:tcPr>
            <w:tcW w:w="1260" w:type="dxa"/>
            <w:vAlign w:val="center"/>
          </w:tcPr>
          <w:p w:rsidR="00506516" w:rsidRPr="00F26C29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>2.2</w:t>
            </w:r>
          </w:p>
          <w:p w:rsidR="00506516" w:rsidRPr="00F26C29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 w:rsidRP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BF68C5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2017-2018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F26C29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F26C29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 xml:space="preserve">   BWG</w:t>
            </w:r>
          </w:p>
        </w:tc>
        <w:tc>
          <w:tcPr>
            <w:tcW w:w="1885" w:type="dxa"/>
            <w:vAlign w:val="center"/>
          </w:tcPr>
          <w:p w:rsidR="00506516" w:rsidRPr="00EA106E" w:rsidRDefault="00B81D0B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B81D0B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9F179E" w:rsidRDefault="00506516" w:rsidP="009F179E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 xml:space="preserve">Liaise with CMS Bycatch Working Group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and participate in CMS bycatch workshops </w:t>
            </w:r>
          </w:p>
        </w:tc>
        <w:tc>
          <w:tcPr>
            <w:tcW w:w="1260" w:type="dxa"/>
            <w:vAlign w:val="center"/>
          </w:tcPr>
          <w:p w:rsidR="00506516" w:rsidRPr="00E927E5" w:rsidRDefault="00D73FF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2196A" w:rsidRDefault="00120DBD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 xml:space="preserve">   BWG</w:t>
            </w:r>
          </w:p>
          <w:p w:rsidR="00EB1C71" w:rsidRPr="00466E5F" w:rsidRDefault="00EB1C71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466E5F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63273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Provide recommendations to the AC and produce reports on activities to AC meetings</w:t>
            </w:r>
          </w:p>
        </w:tc>
        <w:tc>
          <w:tcPr>
            <w:tcW w:w="1260" w:type="dxa"/>
            <w:vAlign w:val="center"/>
          </w:tcPr>
          <w:p w:rsidR="00506516" w:rsidRPr="00E927E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2196A" w:rsidRDefault="00120DBD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As required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D73FF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</w:tc>
        <w:tc>
          <w:tcPr>
            <w:tcW w:w="1885" w:type="dxa"/>
            <w:vAlign w:val="center"/>
          </w:tcPr>
          <w:p w:rsidR="00506516" w:rsidRPr="00466E5F" w:rsidRDefault="006E3FE3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B07CE3">
              <w:rPr>
                <w:rFonts w:asciiTheme="minorHAnsi" w:eastAsia="Calibri" w:hAnsiTheme="minorHAnsi"/>
                <w:szCs w:val="20"/>
                <w:lang w:val="en-GB"/>
              </w:rPr>
              <w:t>Review and compile historical landings and markets data for key species (catch, effort, spatial distribution)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to fill data gaps and integrate the data into conservation and management actions</w:t>
            </w:r>
            <w:r w:rsidR="00653150">
              <w:rPr>
                <w:rFonts w:asciiTheme="minorHAnsi" w:eastAsia="Calibri" w:hAnsiTheme="minorHAnsi"/>
                <w:szCs w:val="20"/>
                <w:lang w:val="en-GB"/>
              </w:rPr>
              <w:t xml:space="preserve"> (desk study)</w:t>
            </w:r>
          </w:p>
        </w:tc>
        <w:tc>
          <w:tcPr>
            <w:tcW w:w="1260" w:type="dxa"/>
            <w:vAlign w:val="center"/>
          </w:tcPr>
          <w:p w:rsidR="00506516" w:rsidRPr="00E927E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2196A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653150" w:rsidRPr="00466E5F" w:rsidRDefault="00653150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466E5F" w:rsidRDefault="00653150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466E5F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b/>
                <w:szCs w:val="20"/>
                <w:lang w:val="en-GB"/>
              </w:rPr>
              <w:t>Fisheries Management and data collection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41D33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Expand and encourage fisheries-independent research (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e.g. historic data on commercially exploited species) to provide additional data for use in the fishery stock assessments and to inform relevant RFMOs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2.6</w:t>
            </w:r>
          </w:p>
          <w:p w:rsidR="00506516" w:rsidRPr="00C22D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2196A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466E5F" w:rsidRDefault="00075A97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D4251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Promote research focussing on the identification of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species-</w:t>
            </w: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selective fishing gear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06516" w:rsidRPr="00C22D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4.5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2196A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466E5F" w:rsidRDefault="00120DBD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2978AF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Fund and support national and international training courses in :</w:t>
            </w:r>
          </w:p>
          <w:p w:rsidR="00506516" w:rsidRPr="002978AF" w:rsidRDefault="00506516" w:rsidP="00506516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data collection</w:t>
            </w:r>
          </w:p>
          <w:p w:rsidR="00506516" w:rsidRPr="002978AF" w:rsidRDefault="00506516" w:rsidP="00506516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 xml:space="preserve">shark identification </w:t>
            </w:r>
          </w:p>
          <w:p w:rsidR="00F71199" w:rsidRPr="009F179E" w:rsidRDefault="00506516" w:rsidP="009F179E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handling and save release protocols</w:t>
            </w:r>
          </w:p>
        </w:tc>
        <w:tc>
          <w:tcPr>
            <w:tcW w:w="1260" w:type="dxa"/>
            <w:vAlign w:val="center"/>
          </w:tcPr>
          <w:p w:rsidR="00506516" w:rsidRPr="002978AF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CP 1.2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2978A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466E5F" w:rsidRDefault="00EB1C71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B246D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Assist in drafting of legislative text for enforcing and implementing fisheries regulations  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6.1</w:t>
            </w:r>
          </w:p>
          <w:p w:rsidR="00506516" w:rsidRPr="00925209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6.2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As required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466E5F" w:rsidRDefault="00EB1C71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Encourage all range states to join CMS and become signatories to the MOU, and to comply with the decisions and recommendations.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16.2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EB1C7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382BD0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C22DB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Pr="00C22DB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udget scenario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 xml:space="preserve">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D7728" w:rsidRDefault="00506516" w:rsidP="009F179E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D7728">
              <w:rPr>
                <w:rFonts w:asciiTheme="minorHAnsi" w:eastAsia="Calibri" w:hAnsiTheme="minorHAnsi"/>
                <w:szCs w:val="20"/>
                <w:lang w:val="en-GB"/>
              </w:rPr>
              <w:t>Present recommendations and position statements to government officials and fishing industry representatives at relevant international meetings and workshop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4.5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6.1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6.2</w:t>
            </w:r>
          </w:p>
          <w:p w:rsidR="00506516" w:rsidRPr="00925209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120DBD" w:rsidRDefault="00120DBD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120DBD">
              <w:rPr>
                <w:rFonts w:asciiTheme="minorHAnsi" w:eastAsia="Calibri" w:hAnsiTheme="minorHAnsi"/>
                <w:szCs w:val="20"/>
                <w:lang w:val="en-GB"/>
              </w:rPr>
              <w:t>as required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9F179E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</w:p>
          <w:p w:rsidR="00506516" w:rsidRPr="00C22DB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udget scenario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 xml:space="preserve">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D7728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When possible, p</w:t>
            </w:r>
            <w:r w:rsidRPr="008D7728">
              <w:rPr>
                <w:rFonts w:asciiTheme="minorHAnsi" w:eastAsia="Calibri" w:hAnsiTheme="minorHAnsi"/>
                <w:szCs w:val="20"/>
                <w:lang w:val="en-GB"/>
              </w:rPr>
              <w:t>articipate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with observer status</w:t>
            </w:r>
            <w:r w:rsidRPr="008D7728">
              <w:rPr>
                <w:rFonts w:asciiTheme="minorHAnsi" w:eastAsia="Calibri" w:hAnsiTheme="minorHAnsi"/>
                <w:szCs w:val="20"/>
                <w:lang w:val="en-GB"/>
              </w:rPr>
              <w:t xml:space="preserve"> in relevant international meetings (IOTC, ICCAT, etc.)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or send experts to participate on behalf of the MOU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4.5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6.1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120DBD" w:rsidRDefault="00120DBD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120DBD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D27B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AD27BE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AD27BE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udget scenario 1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9F179E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Coordinate between CITES, IUCN,TRAFFIC to facilitate CMS and CITES Appendix I listings and raise awareness through regional capacity building workshops on </w:t>
            </w:r>
            <w:r w:rsidRPr="003451A3">
              <w:rPr>
                <w:rFonts w:asciiTheme="minorHAnsi" w:eastAsia="Calibri" w:hAnsiTheme="minorHAnsi"/>
                <w:b/>
                <w:szCs w:val="20"/>
                <w:lang w:val="en-GB"/>
              </w:rPr>
              <w:t xml:space="preserve">sustainable </w:t>
            </w: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harvest and trade</w:t>
            </w:r>
          </w:p>
          <w:p w:rsidR="0093357B" w:rsidRPr="009F179E" w:rsidRDefault="0093357B" w:rsidP="009F179E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7.2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120DBD" w:rsidRDefault="00120DBD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120DBD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9F179E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81547F">
              <w:rPr>
                <w:rFonts w:asciiTheme="minorHAnsi" w:eastAsia="Calibri" w:hAnsiTheme="minorHAnsi"/>
                <w:szCs w:val="20"/>
                <w:lang w:val="en-GB"/>
              </w:rPr>
              <w:t xml:space="preserve">Improve monitoring and implementation in marine protected areas (MPAs), improve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enforcement</w:t>
            </w:r>
          </w:p>
          <w:p w:rsidR="0093357B" w:rsidRPr="008D7728" w:rsidRDefault="0093357B" w:rsidP="009F179E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D52E35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</w:tc>
        <w:tc>
          <w:tcPr>
            <w:tcW w:w="1885" w:type="dxa"/>
            <w:vAlign w:val="center"/>
          </w:tcPr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F20F3D" w:rsidRDefault="00506516" w:rsidP="00382BD0">
            <w:pPr>
              <w:widowControl/>
              <w:tabs>
                <w:tab w:val="left" w:pos="3225"/>
              </w:tabs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F20F3D">
              <w:rPr>
                <w:rFonts w:asciiTheme="minorHAnsi" w:eastAsia="Calibri" w:hAnsiTheme="minorHAnsi"/>
                <w:b/>
                <w:szCs w:val="20"/>
                <w:lang w:val="en-GB"/>
              </w:rPr>
              <w:t>Cooperation and Partnerships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3E2425" w:rsidRDefault="00120DBD" w:rsidP="0050651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lang w:val="en-GB"/>
              </w:rPr>
              <w:t>Cooperate</w:t>
            </w:r>
            <w:r w:rsidR="00506516" w:rsidRPr="003E2425">
              <w:rPr>
                <w:rFonts w:asciiTheme="minorHAnsi" w:hAnsiTheme="minorHAnsi"/>
              </w:rPr>
              <w:t xml:space="preserve"> with the CMS Family on matters relate</w:t>
            </w:r>
            <w:r w:rsidR="00506516">
              <w:rPr>
                <w:rFonts w:asciiTheme="minorHAnsi" w:hAnsiTheme="minorHAnsi"/>
              </w:rPr>
              <w:t>d to shark conservation</w:t>
            </w:r>
          </w:p>
          <w:p w:rsidR="00506516" w:rsidRPr="003E2425" w:rsidRDefault="00506516" w:rsidP="0050651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Contribute</w:t>
            </w:r>
            <w:r w:rsidRPr="003E2425">
              <w:rPr>
                <w:rFonts w:asciiTheme="minorHAnsi" w:hAnsiTheme="minorHAnsi"/>
              </w:rPr>
              <w:t xml:space="preserve"> to the implementation of </w:t>
            </w:r>
            <w:r>
              <w:rPr>
                <w:rFonts w:asciiTheme="minorHAnsi" w:hAnsiTheme="minorHAnsi"/>
              </w:rPr>
              <w:t xml:space="preserve">CMS </w:t>
            </w:r>
            <w:r w:rsidRPr="003E2425">
              <w:rPr>
                <w:rFonts w:asciiTheme="minorHAnsi" w:hAnsiTheme="minorHAnsi"/>
              </w:rPr>
              <w:t>Res. 11.20, Resolutions on bycatch (CMS wide bycatch workshop)</w:t>
            </w:r>
          </w:p>
          <w:p w:rsidR="00506516" w:rsidRPr="009F179E" w:rsidRDefault="00506516" w:rsidP="0050651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Contribute</w:t>
            </w:r>
            <w:r w:rsidRPr="003E2425">
              <w:rPr>
                <w:rFonts w:asciiTheme="minorHAnsi" w:hAnsiTheme="minorHAnsi"/>
              </w:rPr>
              <w:t xml:space="preserve"> to the preparation of</w:t>
            </w:r>
            <w:r>
              <w:rPr>
                <w:rFonts w:asciiTheme="minorHAnsi" w:hAnsiTheme="minorHAnsi"/>
              </w:rPr>
              <w:t xml:space="preserve"> CMS</w:t>
            </w:r>
            <w:r w:rsidRPr="003E2425">
              <w:rPr>
                <w:rFonts w:asciiTheme="minorHAnsi" w:hAnsiTheme="minorHAnsi"/>
              </w:rPr>
              <w:t xml:space="preserve"> COP12 and other relevant meetings of CMS (ScC, StC)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382BD0" w:rsidP="00382BD0">
            <w:pPr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 w:rsidRPr="007635F1">
              <w:rPr>
                <w:rFonts w:asciiTheme="minorHAnsi" w:eastAsia="Calibri" w:hAnsiTheme="minorHAnsi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45A35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  <w:r w:rsidR="00506516" w:rsidRPr="00445A35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udget scenario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 xml:space="preserve">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Contribute to the implementation of the </w:t>
            </w:r>
            <w:r w:rsidRPr="00445A35">
              <w:rPr>
                <w:rFonts w:asciiTheme="minorHAnsi" w:eastAsia="Calibri" w:hAnsiTheme="minorHAnsi"/>
                <w:b/>
                <w:szCs w:val="20"/>
                <w:lang w:val="en-GB"/>
              </w:rPr>
              <w:t>CMS CITES Joint Work Programme 2015-2020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regarding sharks and rays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Activity B17: Optimize the effectiveness of actions taken by Parties to both CMS and CITES concerning sharks and rays, strengthening synergies with FAO, RFMOs and other relevant bodies</w:t>
            </w:r>
          </w:p>
          <w:p w:rsidR="00506516" w:rsidRPr="00445A35" w:rsidRDefault="00506516" w:rsidP="0050651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Activity B18: Cooperate on capacity building regarding the implementation of regulations of both Conventions related to sharks and rays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45A35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 w:rsidRPr="00120DBD">
              <w:rPr>
                <w:rFonts w:asciiTheme="minorHAnsi" w:eastAsia="Calibri" w:hAnsiTheme="minorHAnsi"/>
                <w:szCs w:val="20"/>
                <w:lang w:val="en-GB"/>
              </w:rPr>
              <w:t>udget scenario 1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+ 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FA5641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Strengthen synergies and collaborate in conjunction with CITES and FAO to support regional programmes as well as collaboration between Range States</w:t>
            </w:r>
            <w:r w:rsidRPr="003E2425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Organize regular meetings (and teleconference calls )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Share best practice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Coordinate conservation activities</w:t>
            </w:r>
          </w:p>
          <w:p w:rsidR="00506516" w:rsidRPr="00CE2C41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Share knowledge and expertise 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13.1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45A35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7635F1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>udget s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>cenario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 xml:space="preserve">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4C4A1B">
              <w:rPr>
                <w:rFonts w:asciiTheme="minorHAnsi" w:eastAsia="Calibri" w:hAnsiTheme="minorHAnsi"/>
                <w:szCs w:val="20"/>
                <w:lang w:val="en-GB"/>
              </w:rPr>
              <w:t>Establish partnerships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strengthen collaboration</w:t>
            </w:r>
            <w:r w:rsidRPr="004C4A1B">
              <w:rPr>
                <w:rFonts w:asciiTheme="minorHAnsi" w:eastAsia="Calibri" w:hAnsiTheme="minorHAnsi"/>
                <w:szCs w:val="20"/>
                <w:lang w:val="en-GB"/>
              </w:rPr>
              <w:t xml:space="preserve"> with relevant international organizations and agreements dealing with shark conservation and management </w:t>
            </w:r>
          </w:p>
        </w:tc>
        <w:tc>
          <w:tcPr>
            <w:tcW w:w="1260" w:type="dxa"/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13.1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7635F1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>udget s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cenario 1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D115BE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Promote</w:t>
            </w:r>
            <w:r w:rsidR="00506516" w:rsidRPr="0035134C">
              <w:rPr>
                <w:rFonts w:asciiTheme="minorHAnsi" w:eastAsia="Calibri" w:hAnsiTheme="minorHAnsi"/>
                <w:szCs w:val="20"/>
                <w:lang w:val="en-GB"/>
              </w:rPr>
              <w:t xml:space="preserve"> conservation efforts and cooperation between all stakeholders in range state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</w:p>
          <w:p w:rsidR="0093357B" w:rsidRPr="004C4A1B" w:rsidRDefault="0093357B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00727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</w:t>
            </w: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 xml:space="preserve"> 13.1</w:t>
            </w:r>
          </w:p>
          <w:p w:rsidR="00506516" w:rsidRPr="0000727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>udget s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>cenario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 xml:space="preserve">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IUCN Red List Regional Assessments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Liaise with the IUCN Shark SSG to coordinate actions implementing the objectives of the Conservation Plan and the species-specific action plans</w:t>
            </w:r>
          </w:p>
          <w:p w:rsidR="00506516" w:rsidRPr="009F179E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Participate in regional assessment workshops to provide recommendations and organize side events </w:t>
            </w:r>
            <w:r>
              <w:rPr>
                <w:rFonts w:asciiTheme="minorHAnsi" w:eastAsia="Calibri" w:hAnsiTheme="minorHAnsi"/>
                <w:szCs w:val="20"/>
              </w:rPr>
              <w:t>(Next workshop planned for 2016)</w:t>
            </w:r>
          </w:p>
        </w:tc>
        <w:tc>
          <w:tcPr>
            <w:tcW w:w="1260" w:type="dxa"/>
            <w:vAlign w:val="center"/>
          </w:tcPr>
          <w:p w:rsidR="00506516" w:rsidRPr="0000727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>CP 13.1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2F22E3" w:rsidRPr="00466E5F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EA106E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SWG</w:t>
            </w:r>
          </w:p>
          <w:p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>udget Scenario 1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+ 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4F36F0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Management of the Secretariat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2017D" w:rsidRDefault="00DD6410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Manage and implement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the budget for the MOU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>udget s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>cenario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 xml:space="preserve">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F36F0" w:rsidRDefault="002F22E3" w:rsidP="0063655B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Prepare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 annual budget implementation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reports for the information of the Signatories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 and project reports to donors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95452B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yearly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63655B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63655B" w:rsidRPr="00F20F3D" w:rsidRDefault="0063655B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655B" w:rsidRDefault="0063655B" w:rsidP="0063655B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Undertake Fundraising activities</w:t>
            </w:r>
          </w:p>
        </w:tc>
        <w:tc>
          <w:tcPr>
            <w:tcW w:w="1260" w:type="dxa"/>
            <w:vAlign w:val="center"/>
          </w:tcPr>
          <w:p w:rsidR="0063655B" w:rsidRPr="005779D2" w:rsidRDefault="00CE0C3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655B" w:rsidRDefault="00CE0C3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655B" w:rsidRPr="0095452B" w:rsidRDefault="00CE0C3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655B" w:rsidRDefault="00CE0C30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63655B" w:rsidRDefault="00CE0C30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Maintain and update</w:t>
            </w: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 the Sharks MOU website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as needed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Publish</w:t>
            </w:r>
            <w:r w:rsidR="00506516"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 articles and press releases relevant to shark conservation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supported by the CMS Joint Communications Team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873328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 xml:space="preserve">Produce fact sheets about relevant shark conservation topics and species </w:t>
            </w:r>
          </w:p>
          <w:p w:rsidR="00506516" w:rsidRPr="00873328" w:rsidRDefault="00506516" w:rsidP="005065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Bycatch</w:t>
            </w:r>
          </w:p>
          <w:p w:rsidR="00506516" w:rsidRPr="00873328" w:rsidRDefault="00506516" w:rsidP="005065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Overfishing</w:t>
            </w:r>
          </w:p>
          <w:p w:rsidR="00506516" w:rsidRPr="004F36F0" w:rsidRDefault="00506516" w:rsidP="005065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Species Action Plans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>Use Social Media to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>increase the visibility of the MOU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globally </w:t>
            </w: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="000F2531">
              <w:rPr>
                <w:rFonts w:asciiTheme="minorHAnsi" w:eastAsia="Calibri" w:hAnsiTheme="minorHAnsi"/>
                <w:szCs w:val="20"/>
                <w:lang w:val="en-GB"/>
              </w:rPr>
              <w:t>supported by the CMS Joint Communications Team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Prepare publications using studies (e.g. domestic legislation, species priorities)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0F2531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Where feasible, expand the Sharks MOU communication and awareness-raising  activities in alignment with the Communication Strategy for Migratory Species (in preparation)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Compile information, review data, liaise with stakeholders and provide information to Signatories on the implementation and 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>functioning of the MOU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:rsidR="00506516" w:rsidRPr="00001C87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</w:t>
            </w:r>
            <w:r w:rsidRPr="008C41C1">
              <w:rPr>
                <w:rFonts w:asciiTheme="minorHAnsi" w:eastAsia="Calibri" w:hAnsiTheme="minorHAnsi"/>
                <w:szCs w:val="20"/>
                <w:lang w:val="en-GB"/>
              </w:rPr>
              <w:t>acilitate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encourage regular</w:t>
            </w:r>
            <w:r w:rsidRPr="008C41C1">
              <w:rPr>
                <w:rFonts w:asciiTheme="minorHAnsi" w:eastAsia="Calibri" w:hAnsiTheme="minorHAnsi"/>
                <w:szCs w:val="20"/>
                <w:lang w:val="en-GB"/>
              </w:rPr>
              <w:t xml:space="preserve"> information exchange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cooperative activities between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>the shark researc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h and conservation community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 xml:space="preserve">stakeholders in all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R</w:t>
            </w: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 xml:space="preserve">ange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>tates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Focal Points</w:t>
            </w:r>
          </w:p>
          <w:p w:rsidR="00506516" w:rsidRPr="0052017D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2017D">
              <w:rPr>
                <w:rFonts w:asciiTheme="minorHAnsi" w:eastAsia="Calibri" w:hAnsiTheme="minorHAnsi"/>
                <w:szCs w:val="20"/>
                <w:lang w:val="en-GB"/>
              </w:rPr>
              <w:t xml:space="preserve">Advisory Committee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:rsidR="00506516" w:rsidRPr="00001C87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Represent the MOU at meetings of other intergovernmental agreements (e.g. CITES, IUCN, FAO), as appropriate to facilitate the achievement of the objectives of the MOU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6E5F" w:rsidRDefault="00466E5F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466E5F" w:rsidRDefault="00466E5F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SWG</w:t>
            </w:r>
          </w:p>
          <w:p w:rsidR="00466E5F" w:rsidRDefault="00466E5F" w:rsidP="00004F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 1 or 2 + 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63655B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8C41C1">
              <w:rPr>
                <w:rFonts w:asciiTheme="minorHAnsi" w:eastAsia="Calibri" w:hAnsiTheme="minorHAnsi"/>
                <w:szCs w:val="20"/>
                <w:lang w:val="en-GB"/>
              </w:rPr>
              <w:t xml:space="preserve">Update and maintain the contact database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Prepare report of the Secretariat activities for AC and MOS meetings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Recruit and manag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e the staff and interns of the Secretariat 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EA106E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Support for Meetings (MOS, AC and WG)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3</w:t>
            </w:r>
            <w:r w:rsidRPr="00D31304"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>rd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Meeting of the Signatories (MOS3), including the identification of a venue, liaison with host governmen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t and organization of contracts</w:t>
            </w:r>
          </w:p>
          <w:p w:rsidR="0093357B" w:rsidRDefault="0093357B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End 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61E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357B" w:rsidRDefault="00506516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2</w:t>
            </w:r>
            <w:r w:rsidRPr="00E278B4"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>nd</w:t>
            </w:r>
            <w:r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Meeting of the Advisory Committee (AC2), including the identification of a venu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e and organization of contracts</w:t>
            </w:r>
          </w:p>
          <w:p w:rsidR="0093357B" w:rsidRDefault="0093357B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61E6C" w:rsidRDefault="00506516" w:rsidP="00561E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61E6C">
              <w:rPr>
                <w:rFonts w:asciiTheme="minorHAnsi" w:eastAsia="Calibri" w:hAnsiTheme="minorHAnsi"/>
                <w:szCs w:val="20"/>
                <w:lang w:val="en-GB"/>
              </w:rPr>
              <w:t>Mid 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6E5F" w:rsidRDefault="00506516" w:rsidP="00561E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3</w:t>
            </w:r>
            <w:r w:rsidRPr="00E278B4"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>rd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Meet</w:t>
            </w:r>
            <w:r w:rsidR="00561E6C">
              <w:rPr>
                <w:rFonts w:asciiTheme="minorHAnsi" w:eastAsia="Calibri" w:hAnsiTheme="minorHAnsi"/>
                <w:szCs w:val="20"/>
                <w:lang w:val="en-GB"/>
              </w:rPr>
              <w:t>ing of the Advisory Committee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(AC3), including the identification of a venu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e and organization of contracts</w:t>
            </w:r>
          </w:p>
          <w:p w:rsidR="0093357B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Mid 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6E5F" w:rsidRDefault="00506516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F73BB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 1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Working Group Meetings, including the identification of a venue and organization of contracts</w:t>
            </w:r>
          </w:p>
          <w:p w:rsidR="0093357B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6F1B1B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 and 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A1221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 1</w:t>
            </w:r>
            <w:r w:rsidR="00561E6C">
              <w:rPr>
                <w:rFonts w:asciiTheme="minorHAnsi" w:eastAsia="Calibri" w:hAnsiTheme="minorHAnsi"/>
                <w:szCs w:val="20"/>
                <w:lang w:val="en-GB"/>
              </w:rPr>
              <w:t xml:space="preserve"> + Fundraising</w:t>
            </w:r>
          </w:p>
        </w:tc>
      </w:tr>
      <w:tr w:rsidR="00506516" w:rsidRPr="00EA106E" w:rsidTr="00561E6C">
        <w:trPr>
          <w:cantSplit/>
          <w:trHeight w:val="698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Coordinate, draft and prepare meeting documents, including posting of documents</w:t>
            </w: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211BF1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Coordinate and prepare translations into 3 languages (</w:t>
            </w:r>
            <w:r w:rsidR="00211BF1">
              <w:rPr>
                <w:rFonts w:asciiTheme="minorHAnsi" w:eastAsia="Calibri" w:hAnsiTheme="minorHAnsi"/>
                <w:szCs w:val="20"/>
                <w:lang w:val="en-GB"/>
              </w:rPr>
              <w:t>English, French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</w:t>
            </w:r>
            <w:r w:rsidR="00211BF1">
              <w:rPr>
                <w:rFonts w:asciiTheme="minorHAnsi" w:eastAsia="Calibri" w:hAnsiTheme="minorHAnsi"/>
                <w:szCs w:val="20"/>
                <w:lang w:val="en-GB"/>
              </w:rPr>
              <w:t>Spanish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) </w:t>
            </w: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Support and arrange attendance and travel of sponsored delegates and experts </w:t>
            </w: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 1 or 2 + 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Organize and prepare media and press work in collaboration with the Joint Communication Team of CMS</w:t>
            </w:r>
          </w:p>
          <w:p w:rsidR="0093357B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561E6C">
        <w:trPr>
          <w:cantSplit/>
          <w:trHeight w:val="581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Prepare meeting reports and distribute to Signatories </w:t>
            </w: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004FA8" w:rsidRDefault="00506516" w:rsidP="009B10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EA106E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Support of the Advisory Committee</w:t>
            </w:r>
          </w:p>
        </w:tc>
      </w:tr>
      <w:tr w:rsidR="00506516" w:rsidRPr="00EA106E" w:rsidTr="00B81D0B">
        <w:trPr>
          <w:cantSplit/>
          <w:trHeight w:val="626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Assist the Chair of the Advisory Committee as required to faci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litate the work of the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Committee </w:t>
            </w:r>
          </w:p>
        </w:tc>
        <w:tc>
          <w:tcPr>
            <w:tcW w:w="1260" w:type="dxa"/>
            <w:vAlign w:val="center"/>
          </w:tcPr>
          <w:p w:rsidR="00506516" w:rsidRPr="005779D2" w:rsidRDefault="00DD641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>Assist the Advisory Committee with the preparation of meeting documents</w:t>
            </w:r>
          </w:p>
        </w:tc>
        <w:tc>
          <w:tcPr>
            <w:tcW w:w="1260" w:type="dxa"/>
            <w:vAlign w:val="center"/>
          </w:tcPr>
          <w:p w:rsidR="00506516" w:rsidRPr="005779D2" w:rsidRDefault="00DD641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>Assist the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convenors and chairs of the Species Working Group and the Bycatch Working Group, as required to facilitate the work</w:t>
            </w:r>
          </w:p>
        </w:tc>
        <w:tc>
          <w:tcPr>
            <w:tcW w:w="1260" w:type="dxa"/>
            <w:vAlign w:val="center"/>
          </w:tcPr>
          <w:p w:rsidR="00506516" w:rsidRPr="005779D2" w:rsidRDefault="00DD641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Consultants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357B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>Develop and maint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ain the </w:t>
            </w: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 xml:space="preserve">list of experts relevant to the Sharks MOU </w:t>
            </w:r>
          </w:p>
        </w:tc>
        <w:tc>
          <w:tcPr>
            <w:tcW w:w="1260" w:type="dxa"/>
            <w:vAlign w:val="center"/>
          </w:tcPr>
          <w:p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CD4B93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2.5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EA106E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Implementation of the MOU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F278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Promote and coordinate activities of the Programme of Work and Conservation Plan</w:t>
            </w:r>
          </w:p>
        </w:tc>
        <w:tc>
          <w:tcPr>
            <w:tcW w:w="1260" w:type="dxa"/>
            <w:vAlign w:val="center"/>
          </w:tcPr>
          <w:p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9B1004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Cooperating Partners 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F2781" w:rsidRDefault="00506516" w:rsidP="00561E6C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Conduct a</w:t>
            </w: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 survey on d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omestic legislation </w:t>
            </w: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to address implementation gaps, inform Signatories and monitor the implementation of the Conservation Plan </w:t>
            </w:r>
          </w:p>
        </w:tc>
        <w:tc>
          <w:tcPr>
            <w:tcW w:w="1260" w:type="dxa"/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CP 7.1</w:t>
            </w:r>
          </w:p>
          <w:p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9B1004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F2781" w:rsidRDefault="00506516" w:rsidP="00561E6C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Liaise with non-Signatory Range States to provide them with the necessary information to join the MOU and facilitate the accession </w:t>
            </w:r>
          </w:p>
        </w:tc>
        <w:tc>
          <w:tcPr>
            <w:tcW w:w="1260" w:type="dxa"/>
            <w:vAlign w:val="center"/>
          </w:tcPr>
          <w:p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607" w:rsidRDefault="00733607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Undertake </w:t>
            </w:r>
            <w:r w:rsidR="00506516"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outreach activities on the following priority regions: </w:t>
            </w:r>
          </w:p>
          <w:p w:rsidR="00506516" w:rsidRPr="00AF278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b/>
                <w:szCs w:val="20"/>
                <w:lang w:val="en-GB"/>
              </w:rPr>
              <w:t>South</w:t>
            </w: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-</w:t>
            </w:r>
            <w:r w:rsidRPr="00D83DCD">
              <w:rPr>
                <w:rFonts w:asciiTheme="minorHAnsi" w:eastAsia="Calibri" w:hAnsiTheme="minorHAnsi"/>
                <w:b/>
                <w:szCs w:val="20"/>
                <w:lang w:val="en-GB"/>
              </w:rPr>
              <w:t xml:space="preserve">East Asia, </w:t>
            </w: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 South America and Caribbean  and West Africa </w:t>
            </w:r>
          </w:p>
        </w:tc>
        <w:tc>
          <w:tcPr>
            <w:tcW w:w="1260" w:type="dxa"/>
            <w:vAlign w:val="center"/>
          </w:tcPr>
          <w:p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F278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Use other CMS meetings and workshops to promote the accession to the MOU </w:t>
            </w:r>
          </w:p>
        </w:tc>
        <w:tc>
          <w:tcPr>
            <w:tcW w:w="1260" w:type="dxa"/>
            <w:vAlign w:val="center"/>
          </w:tcPr>
          <w:p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CMS</w:t>
            </w:r>
          </w:p>
        </w:tc>
        <w:tc>
          <w:tcPr>
            <w:tcW w:w="1885" w:type="dxa"/>
            <w:vAlign w:val="center"/>
          </w:tcPr>
          <w:p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7E46EC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Capacity B</w:t>
            </w:r>
            <w:r w:rsidRPr="007E46EC">
              <w:rPr>
                <w:rFonts w:asciiTheme="minorHAnsi" w:eastAsia="Calibri" w:hAnsiTheme="minorHAnsi"/>
                <w:b/>
                <w:szCs w:val="20"/>
                <w:lang w:val="en-GB"/>
              </w:rPr>
              <w:t>uilding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C7CC0" w:rsidRDefault="009F179E" w:rsidP="00D52E35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Identify </w:t>
            </w:r>
            <w:r w:rsidR="00506516" w:rsidRPr="005C7CC0">
              <w:rPr>
                <w:rFonts w:asciiTheme="minorHAnsi" w:eastAsia="Calibri" w:hAnsiTheme="minorHAnsi"/>
                <w:szCs w:val="20"/>
                <w:lang w:val="en-GB"/>
              </w:rPr>
              <w:t>and review gaps i</w:t>
            </w:r>
            <w:r w:rsidR="00D52E35">
              <w:rPr>
                <w:rFonts w:asciiTheme="minorHAnsi" w:eastAsia="Calibri" w:hAnsiTheme="minorHAnsi"/>
                <w:szCs w:val="20"/>
                <w:lang w:val="en-GB"/>
              </w:rPr>
              <w:t>n capacity and training needs of Signatories</w:t>
            </w:r>
          </w:p>
        </w:tc>
        <w:tc>
          <w:tcPr>
            <w:tcW w:w="1260" w:type="dxa"/>
            <w:vAlign w:val="center"/>
          </w:tcPr>
          <w:p w:rsidR="00D52E35" w:rsidRDefault="00D52E35" w:rsidP="003E47DE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1.1</w:t>
            </w:r>
          </w:p>
          <w:p w:rsidR="00506516" w:rsidRPr="00D83DCD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6E22A2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  <w:bookmarkStart w:id="0" w:name="_GoBack"/>
            <w:bookmarkEnd w:id="0"/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D52E35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52E35" w:rsidRPr="00F20F3D" w:rsidRDefault="00D52E35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357B" w:rsidRPr="005C7CC0" w:rsidRDefault="00D52E35" w:rsidP="00D52E35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</w:t>
            </w:r>
            <w:r w:rsidRPr="005C7CC0">
              <w:rPr>
                <w:rFonts w:asciiTheme="minorHAnsi" w:eastAsia="Calibri" w:hAnsiTheme="minorHAnsi"/>
                <w:szCs w:val="20"/>
                <w:lang w:val="en-GB"/>
              </w:rPr>
              <w:t>ssist Signatories with the implement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ation of the Conservation Plan:</w:t>
            </w:r>
          </w:p>
          <w:p w:rsidR="00D52E35" w:rsidRPr="009F179E" w:rsidRDefault="00D52E35" w:rsidP="00506516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7CC0">
              <w:rPr>
                <w:rFonts w:asciiTheme="minorHAnsi" w:eastAsia="Calibri" w:hAnsiTheme="minorHAnsi"/>
                <w:szCs w:val="20"/>
                <w:lang w:val="en-GB"/>
              </w:rPr>
              <w:t xml:space="preserve">Support the United Arab Emirates (and other Signatories upon request) with the development of their National Plan of Action for the Conservation and Management of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Pr="005C7CC0">
              <w:rPr>
                <w:rFonts w:asciiTheme="minorHAnsi" w:eastAsia="Calibri" w:hAnsiTheme="minorHAnsi"/>
                <w:szCs w:val="20"/>
                <w:lang w:val="en-GB"/>
              </w:rPr>
              <w:t>harks (NPOA Sharks)</w:t>
            </w:r>
          </w:p>
        </w:tc>
        <w:tc>
          <w:tcPr>
            <w:tcW w:w="1260" w:type="dxa"/>
            <w:vAlign w:val="center"/>
          </w:tcPr>
          <w:p w:rsidR="00D52E35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6.2</w:t>
            </w:r>
          </w:p>
          <w:p w:rsidR="00D52E35" w:rsidRPr="00D83DCD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2E35" w:rsidRDefault="00D52E35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2E35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 and as further requested by Signatories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2E35" w:rsidRDefault="00D52E35" w:rsidP="00D52E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D52E35" w:rsidRDefault="00D52E35" w:rsidP="00D52E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D52E35" w:rsidRDefault="00D52E35" w:rsidP="00D52E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D52E35" w:rsidRDefault="00D52E35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9F179E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color w:val="000000"/>
                <w:szCs w:val="20"/>
                <w:lang w:val="en-GB"/>
              </w:rPr>
            </w:pPr>
            <w:r w:rsidRPr="005C7CC0">
              <w:rPr>
                <w:rFonts w:asciiTheme="minorHAnsi" w:eastAsia="Calibri" w:hAnsiTheme="minorHAnsi"/>
                <w:szCs w:val="20"/>
                <w:lang w:val="en-GB"/>
              </w:rPr>
              <w:t>Compile manuals and develop tailored training materials for trainers, primarily Manage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ment and Scientific Authorities</w:t>
            </w:r>
          </w:p>
        </w:tc>
        <w:tc>
          <w:tcPr>
            <w:tcW w:w="1260" w:type="dxa"/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3.2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As required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9F179E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Contribute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to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joint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capacity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-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>building workshops with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CMS and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cooperating partners in Africa, Asia, Oceania, South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&amp;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Central America and the Caribbean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, as requested by the regions </w:t>
            </w:r>
          </w:p>
        </w:tc>
        <w:tc>
          <w:tcPr>
            <w:tcW w:w="1260" w:type="dxa"/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Raise awareness of CMS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-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and CITES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-listed species</w:t>
            </w:r>
          </w:p>
        </w:tc>
        <w:tc>
          <w:tcPr>
            <w:tcW w:w="1260" w:type="dxa"/>
            <w:vAlign w:val="center"/>
          </w:tcPr>
          <w:p w:rsidR="00506516" w:rsidRPr="00D738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1.6 </w:t>
            </w:r>
          </w:p>
          <w:p w:rsidR="00506516" w:rsidRPr="00D738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Develop a Massive Open Online Course (MOOC) on the Conservation and Management of Sharks and their habitats </w:t>
            </w:r>
          </w:p>
          <w:p w:rsidR="00506516" w:rsidRPr="00D83DCD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Cooperate with relevant scientific bodies (universities, scientists, international institutions)</w:t>
            </w:r>
          </w:p>
        </w:tc>
        <w:tc>
          <w:tcPr>
            <w:tcW w:w="1260" w:type="dxa"/>
            <w:vAlign w:val="center"/>
          </w:tcPr>
          <w:p w:rsidR="00506516" w:rsidRPr="00D83DCD" w:rsidRDefault="0061371A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 xml:space="preserve">CP </w:t>
            </w:r>
            <w:r w:rsidR="00D52E35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12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D83DCD" w:rsidRDefault="00506516" w:rsidP="007336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Translation</w:t>
            </w:r>
            <w:r w:rsidRPr="00634DF2">
              <w:rPr>
                <w:rFonts w:asciiTheme="minorHAnsi" w:eastAsia="Calibri" w:hAnsiTheme="minorHAnsi"/>
                <w:szCs w:val="20"/>
                <w:lang w:val="en-GB"/>
              </w:rPr>
              <w:t xml:space="preserve"> of “Sharks of the Arabian Seas”- Identification Guide to other languages of the Indian Ocean Region (e.g. Farsi, Hindi, Urdu)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other identification guides as required </w:t>
            </w:r>
          </w:p>
          <w:p w:rsidR="0093357B" w:rsidRPr="00D83DCD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506516" w:rsidRDefault="00026E38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12</w:t>
            </w:r>
          </w:p>
          <w:p w:rsidR="00026E38" w:rsidRPr="00D83DCD" w:rsidRDefault="00026E38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CP13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:rsidR="00506516" w:rsidRPr="00004FA8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4FA8">
              <w:rPr>
                <w:rFonts w:asciiTheme="minorHAnsi" w:eastAsia="Calibri" w:hAnsiTheme="minorHAnsi"/>
                <w:b/>
                <w:szCs w:val="20"/>
                <w:lang w:val="en-GB"/>
              </w:rPr>
              <w:t>Fundraising / Mobilization of resources</w:t>
            </w:r>
          </w:p>
        </w:tc>
      </w:tr>
      <w:tr w:rsidR="00506516" w:rsidRPr="00EA106E" w:rsidTr="00B81D0B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Identify existing and new opportunities for financial resources to support the </w:t>
            </w:r>
            <w:r w:rsidRPr="006C3A09">
              <w:rPr>
                <w:rFonts w:asciiTheme="minorHAnsi" w:eastAsia="Calibri" w:hAnsiTheme="minorHAnsi"/>
                <w:szCs w:val="20"/>
                <w:u w:val="single"/>
                <w:lang w:val="en-GB"/>
              </w:rPr>
              <w:t>long</w:t>
            </w:r>
            <w:r>
              <w:rPr>
                <w:rFonts w:asciiTheme="minorHAnsi" w:eastAsia="Calibri" w:hAnsiTheme="minorHAnsi"/>
                <w:szCs w:val="20"/>
                <w:u w:val="single"/>
                <w:lang w:val="en-GB"/>
              </w:rPr>
              <w:t>-</w:t>
            </w:r>
            <w:r w:rsidRPr="006C3A09">
              <w:rPr>
                <w:rFonts w:asciiTheme="minorHAnsi" w:eastAsia="Calibri" w:hAnsiTheme="minorHAnsi"/>
                <w:szCs w:val="20"/>
                <w:u w:val="single"/>
                <w:lang w:val="en-GB"/>
              </w:rPr>
              <w:t xml:space="preserve">term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implementation of the Conservation Plan and the PoW. Expand and enhance fundraising activities: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Raise funds and voluntary annual contributions from Signatories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Raise funds for joint projects with partners and potential partners 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6C3A09">
              <w:rPr>
                <w:rFonts w:asciiTheme="minorHAnsi" w:eastAsia="Calibri" w:hAnsiTheme="minorHAnsi"/>
                <w:szCs w:val="20"/>
                <w:lang w:val="en-GB"/>
              </w:rPr>
              <w:t>Explore possibilities of alternative funds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(e.g. private sector)</w:t>
            </w:r>
          </w:p>
          <w:p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Support funding applications and opportunities for Signatories </w:t>
            </w:r>
          </w:p>
          <w:p w:rsidR="00506516" w:rsidRPr="00733607" w:rsidRDefault="00506516" w:rsidP="007336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with letters of endorsement / support</w:t>
            </w:r>
          </w:p>
        </w:tc>
        <w:tc>
          <w:tcPr>
            <w:tcW w:w="1260" w:type="dxa"/>
            <w:vAlign w:val="center"/>
          </w:tcPr>
          <w:p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37996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scenarios 1 and 2</w:t>
            </w:r>
          </w:p>
        </w:tc>
      </w:tr>
    </w:tbl>
    <w:p w:rsidR="00B45C51" w:rsidRDefault="00B45C51" w:rsidP="00B45C51"/>
    <w:p w:rsidR="00B45C51" w:rsidRDefault="00B45C51" w:rsidP="00B45C51"/>
    <w:p w:rsidR="00B45C51" w:rsidRDefault="00B45C51" w:rsidP="00B45C51"/>
    <w:p w:rsidR="00292300" w:rsidRDefault="00292300" w:rsidP="00B45C51">
      <w:pPr>
        <w:ind w:left="420"/>
        <w:jc w:val="both"/>
        <w:rPr>
          <w:sz w:val="24"/>
        </w:rPr>
      </w:pPr>
    </w:p>
    <w:p w:rsidR="00FC0899" w:rsidRPr="00FD56E6" w:rsidRDefault="00FC0899" w:rsidP="00573C09">
      <w:pPr>
        <w:rPr>
          <w:bCs/>
          <w:i/>
          <w:sz w:val="22"/>
          <w:szCs w:val="22"/>
        </w:rPr>
      </w:pPr>
    </w:p>
    <w:sectPr w:rsidR="00FC0899" w:rsidRPr="00FD56E6" w:rsidSect="00B45C51">
      <w:endnotePr>
        <w:numFmt w:val="decimal"/>
      </w:endnotePr>
      <w:pgSz w:w="16837" w:h="11905" w:orient="landscape" w:code="9"/>
      <w:pgMar w:top="720" w:right="720" w:bottom="720" w:left="720" w:header="504" w:footer="50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C9" w:rsidRDefault="007A74C9">
      <w:r>
        <w:separator/>
      </w:r>
    </w:p>
  </w:endnote>
  <w:endnote w:type="continuationSeparator" w:id="0">
    <w:p w:rsidR="007A74C9" w:rsidRDefault="007A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63" w:rsidRDefault="00E42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2A2">
      <w:rPr>
        <w:rStyle w:val="PageNumber"/>
        <w:noProof/>
      </w:rPr>
      <w:t>12</w:t>
    </w:r>
    <w:r>
      <w:rPr>
        <w:rStyle w:val="PageNumber"/>
      </w:rPr>
      <w:fldChar w:fldCharType="end"/>
    </w:r>
  </w:p>
  <w:p w:rsidR="00E42B63" w:rsidRDefault="00E42B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63" w:rsidRDefault="00E42B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2A2">
      <w:rPr>
        <w:noProof/>
      </w:rPr>
      <w:t>11</w:t>
    </w:r>
    <w:r>
      <w:rPr>
        <w:noProof/>
      </w:rPr>
      <w:fldChar w:fldCharType="end"/>
    </w:r>
  </w:p>
  <w:p w:rsidR="00E42B63" w:rsidRDefault="00E42B63" w:rsidP="00A606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63" w:rsidRDefault="00E42B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2A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C9" w:rsidRDefault="007A74C9">
      <w:r>
        <w:separator/>
      </w:r>
    </w:p>
  </w:footnote>
  <w:footnote w:type="continuationSeparator" w:id="0">
    <w:p w:rsidR="007A74C9" w:rsidRDefault="007A74C9">
      <w:r>
        <w:continuationSeparator/>
      </w:r>
    </w:p>
  </w:footnote>
  <w:footnote w:id="1">
    <w:p w:rsidR="00E42B63" w:rsidRPr="007B5C8D" w:rsidRDefault="00E42B63" w:rsidP="00B45C51">
      <w:pPr>
        <w:pStyle w:val="FootnoteText"/>
        <w:rPr>
          <w:sz w:val="18"/>
          <w:szCs w:val="18"/>
        </w:rPr>
      </w:pPr>
      <w:r w:rsidRPr="00972667">
        <w:rPr>
          <w:rStyle w:val="FootnoteReference"/>
          <w:sz w:val="18"/>
          <w:szCs w:val="18"/>
          <w:vertAlign w:val="superscript"/>
        </w:rPr>
        <w:footnoteRef/>
      </w:r>
      <w:r w:rsidR="0017184C">
        <w:rPr>
          <w:sz w:val="18"/>
          <w:szCs w:val="18"/>
        </w:rPr>
        <w:t xml:space="preserve"> </w:t>
      </w:r>
      <w:r w:rsidRPr="007B5C8D">
        <w:rPr>
          <w:sz w:val="18"/>
          <w:szCs w:val="18"/>
        </w:rPr>
        <w:t>Conservation Plan</w:t>
      </w:r>
      <w:r>
        <w:rPr>
          <w:sz w:val="18"/>
          <w:szCs w:val="18"/>
        </w:rPr>
        <w:t xml:space="preserve"> (CP)</w:t>
      </w:r>
      <w:r w:rsidRPr="007B5C8D">
        <w:rPr>
          <w:sz w:val="18"/>
          <w:szCs w:val="18"/>
        </w:rPr>
        <w:t xml:space="preserve"> and </w:t>
      </w:r>
      <w:r>
        <w:rPr>
          <w:sz w:val="18"/>
          <w:szCs w:val="18"/>
        </w:rPr>
        <w:t xml:space="preserve">the </w:t>
      </w:r>
      <w:r w:rsidRPr="007B5C8D">
        <w:rPr>
          <w:sz w:val="18"/>
          <w:szCs w:val="18"/>
        </w:rPr>
        <w:t>Terms of Reference</w:t>
      </w:r>
      <w:r>
        <w:rPr>
          <w:sz w:val="18"/>
          <w:szCs w:val="18"/>
        </w:rPr>
        <w:t xml:space="preserve"> of the Advisory Committee and the Secretariat</w:t>
      </w:r>
      <w:r w:rsidRPr="007B5C8D">
        <w:rPr>
          <w:sz w:val="18"/>
          <w:szCs w:val="18"/>
        </w:rPr>
        <w:t xml:space="preserve"> </w:t>
      </w:r>
      <w:r w:rsidR="003E47DE">
        <w:rPr>
          <w:sz w:val="18"/>
          <w:szCs w:val="18"/>
        </w:rPr>
        <w:t>(SEC ToR)</w:t>
      </w:r>
    </w:p>
  </w:footnote>
  <w:footnote w:id="2">
    <w:p w:rsidR="00E42B63" w:rsidRPr="007B5C8D" w:rsidRDefault="00E42B63" w:rsidP="00B45C51">
      <w:pPr>
        <w:pStyle w:val="FootnoteText"/>
        <w:rPr>
          <w:sz w:val="18"/>
          <w:szCs w:val="18"/>
        </w:rPr>
      </w:pPr>
      <w:r w:rsidRPr="00972667">
        <w:rPr>
          <w:rStyle w:val="FootnoteReference"/>
          <w:sz w:val="18"/>
          <w:szCs w:val="18"/>
          <w:vertAlign w:val="superscript"/>
        </w:rPr>
        <w:footnoteRef/>
      </w:r>
      <w:r w:rsidRPr="007B5C8D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7B5C8D">
        <w:rPr>
          <w:sz w:val="18"/>
          <w:szCs w:val="18"/>
        </w:rPr>
        <w:t>o</w:t>
      </w:r>
      <w:r>
        <w:rPr>
          <w:sz w:val="18"/>
          <w:szCs w:val="18"/>
        </w:rPr>
        <w:t>re S</w:t>
      </w:r>
      <w:r w:rsidRPr="007B5C8D">
        <w:rPr>
          <w:sz w:val="18"/>
          <w:szCs w:val="18"/>
        </w:rPr>
        <w:t xml:space="preserve">ecretariat activities </w:t>
      </w:r>
      <w:r>
        <w:rPr>
          <w:sz w:val="18"/>
          <w:szCs w:val="18"/>
        </w:rPr>
        <w:t>and sugg</w:t>
      </w:r>
      <w:r w:rsidR="003E47DE">
        <w:rPr>
          <w:sz w:val="18"/>
          <w:szCs w:val="18"/>
        </w:rPr>
        <w:t>ested priorities (High, Medium)</w:t>
      </w:r>
    </w:p>
  </w:footnote>
  <w:footnote w:id="3">
    <w:p w:rsidR="00E42B63" w:rsidRDefault="00E42B63" w:rsidP="00B45C51">
      <w:pPr>
        <w:pStyle w:val="FootnoteText"/>
      </w:pPr>
      <w:r w:rsidRPr="00972667">
        <w:rPr>
          <w:rStyle w:val="FootnoteReference"/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>Year</w:t>
      </w:r>
      <w:r w:rsidR="003E47DE">
        <w:rPr>
          <w:sz w:val="18"/>
          <w:szCs w:val="18"/>
        </w:rPr>
        <w:t>(s) during which</w:t>
      </w:r>
      <w:r>
        <w:rPr>
          <w:sz w:val="18"/>
          <w:szCs w:val="18"/>
        </w:rPr>
        <w:t xml:space="preserve"> activity should be implemented</w:t>
      </w:r>
    </w:p>
  </w:footnote>
  <w:footnote w:id="4">
    <w:p w:rsidR="00E42B63" w:rsidRPr="007B5C8D" w:rsidRDefault="00E42B63" w:rsidP="00B45C51">
      <w:pPr>
        <w:pStyle w:val="FootnoteText"/>
        <w:rPr>
          <w:sz w:val="18"/>
          <w:szCs w:val="18"/>
        </w:rPr>
      </w:pPr>
      <w:r w:rsidRPr="00972667">
        <w:rPr>
          <w:rStyle w:val="FootnoteReference"/>
          <w:sz w:val="18"/>
          <w:szCs w:val="18"/>
          <w:vertAlign w:val="superscript"/>
        </w:rPr>
        <w:footnoteRef/>
      </w:r>
      <w:r w:rsidRPr="007B5C8D">
        <w:rPr>
          <w:sz w:val="18"/>
          <w:szCs w:val="18"/>
        </w:rPr>
        <w:t xml:space="preserve"> Signatories (SIG), Advisory Committee (AC), Secretariat (SEC), </w:t>
      </w:r>
      <w:r>
        <w:rPr>
          <w:sz w:val="18"/>
          <w:szCs w:val="18"/>
        </w:rPr>
        <w:t>Species Working Group (SWG)</w:t>
      </w:r>
      <w:r w:rsidRPr="007B5C8D">
        <w:rPr>
          <w:sz w:val="18"/>
          <w:szCs w:val="18"/>
        </w:rPr>
        <w:t>,</w:t>
      </w:r>
      <w:r>
        <w:rPr>
          <w:sz w:val="18"/>
          <w:szCs w:val="18"/>
        </w:rPr>
        <w:t xml:space="preserve"> Bycatch Working Group (BWG),</w:t>
      </w:r>
      <w:r w:rsidRPr="007B5C8D">
        <w:rPr>
          <w:sz w:val="18"/>
          <w:szCs w:val="18"/>
        </w:rPr>
        <w:t xml:space="preserve"> Consultants, Cooperating Partners</w:t>
      </w:r>
    </w:p>
  </w:footnote>
  <w:footnote w:id="5">
    <w:p w:rsidR="00E42B63" w:rsidRDefault="00E42B63" w:rsidP="00B45C51">
      <w:pPr>
        <w:pStyle w:val="FootnoteText"/>
      </w:pPr>
      <w:r w:rsidRPr="00972667">
        <w:rPr>
          <w:rStyle w:val="FootnoteReference"/>
          <w:vertAlign w:val="superscript"/>
        </w:rPr>
        <w:footnoteRef/>
      </w:r>
      <w:r>
        <w:t xml:space="preserve"> </w:t>
      </w:r>
      <w:r w:rsidRPr="007B5C8D">
        <w:rPr>
          <w:sz w:val="18"/>
          <w:szCs w:val="18"/>
        </w:rPr>
        <w:t>Fundraising Scenario</w:t>
      </w:r>
      <w:r>
        <w:rPr>
          <w:sz w:val="18"/>
          <w:szCs w:val="18"/>
        </w:rPr>
        <w:t xml:space="preserve"> </w:t>
      </w:r>
      <w:r w:rsidRPr="007B5C8D">
        <w:rPr>
          <w:sz w:val="18"/>
          <w:szCs w:val="18"/>
        </w:rPr>
        <w:t>1 or 2 from</w:t>
      </w:r>
      <w:r>
        <w:rPr>
          <w:sz w:val="18"/>
          <w:szCs w:val="18"/>
        </w:rPr>
        <w:t xml:space="preserve"> the</w:t>
      </w:r>
      <w:r w:rsidRPr="007B5C8D">
        <w:rPr>
          <w:sz w:val="18"/>
          <w:szCs w:val="18"/>
        </w:rPr>
        <w:t xml:space="preserve"> proposed </w:t>
      </w:r>
      <w:r>
        <w:rPr>
          <w:sz w:val="18"/>
          <w:szCs w:val="18"/>
        </w:rPr>
        <w:t>b</w:t>
      </w:r>
      <w:r w:rsidRPr="007B5C8D">
        <w:rPr>
          <w:sz w:val="18"/>
          <w:szCs w:val="18"/>
        </w:rPr>
        <w:t>udget</w:t>
      </w:r>
      <w:r>
        <w:rPr>
          <w:sz w:val="18"/>
          <w:szCs w:val="18"/>
        </w:rPr>
        <w:t xml:space="preserve"> 2016-2018</w:t>
      </w:r>
      <w:r w:rsidRPr="007B5C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CMS/Sharks/MOS2/Doc.10.1 and activities that require special fundraising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63" w:rsidRPr="00A05017" w:rsidRDefault="00E42B63" w:rsidP="00F71199">
    <w:pPr>
      <w:pBdr>
        <w:bottom w:val="single" w:sz="4" w:space="1" w:color="auto"/>
      </w:pBdr>
      <w:ind w:left="-36" w:right="-108"/>
      <w:jc w:val="both"/>
      <w:rPr>
        <w:sz w:val="22"/>
        <w:szCs w:val="22"/>
      </w:rPr>
    </w:pPr>
    <w:r w:rsidRPr="00A05017">
      <w:rPr>
        <w:sz w:val="22"/>
        <w:szCs w:val="22"/>
      </w:rPr>
      <w:t>CMS/Sharks/MOS2/Doc.9.1</w:t>
    </w:r>
  </w:p>
  <w:p w:rsidR="00E42B63" w:rsidRDefault="00E42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63" w:rsidRPr="00A05017" w:rsidRDefault="00E42B63" w:rsidP="00F71199">
    <w:pPr>
      <w:pBdr>
        <w:bottom w:val="single" w:sz="4" w:space="1" w:color="auto"/>
      </w:pBdr>
      <w:ind w:left="-36" w:right="-108"/>
      <w:jc w:val="right"/>
      <w:rPr>
        <w:sz w:val="22"/>
        <w:szCs w:val="22"/>
      </w:rPr>
    </w:pPr>
    <w:r w:rsidRPr="00A05017">
      <w:rPr>
        <w:sz w:val="22"/>
        <w:szCs w:val="22"/>
      </w:rPr>
      <w:t>CMS/Sharks/MOS2/Doc.9.1</w:t>
    </w:r>
  </w:p>
  <w:p w:rsidR="00E42B63" w:rsidRDefault="00E42B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90F48"/>
    <w:multiLevelType w:val="hybridMultilevel"/>
    <w:tmpl w:val="8F3C8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29E"/>
    <w:multiLevelType w:val="multilevel"/>
    <w:tmpl w:val="C944DB7E"/>
    <w:numStyleLink w:val="Style1"/>
  </w:abstractNum>
  <w:abstractNum w:abstractNumId="3" w15:restartNumberingAfterBreak="0">
    <w:nsid w:val="171711CB"/>
    <w:multiLevelType w:val="multilevel"/>
    <w:tmpl w:val="C944DB7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6D11"/>
    <w:multiLevelType w:val="hybridMultilevel"/>
    <w:tmpl w:val="C8866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BCB"/>
    <w:multiLevelType w:val="hybridMultilevel"/>
    <w:tmpl w:val="EC982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C5C78"/>
    <w:multiLevelType w:val="hybridMultilevel"/>
    <w:tmpl w:val="70B2C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3EBB"/>
    <w:multiLevelType w:val="hybridMultilevel"/>
    <w:tmpl w:val="AA1EF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C1C34"/>
    <w:multiLevelType w:val="hybridMultilevel"/>
    <w:tmpl w:val="49B4E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892"/>
    <w:multiLevelType w:val="hybridMultilevel"/>
    <w:tmpl w:val="37CE4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B6264"/>
    <w:multiLevelType w:val="hybridMultilevel"/>
    <w:tmpl w:val="9E0A51A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D4304FF"/>
    <w:multiLevelType w:val="hybridMultilevel"/>
    <w:tmpl w:val="E7E6EFFA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FC6800"/>
    <w:multiLevelType w:val="hybridMultilevel"/>
    <w:tmpl w:val="5F524BC8"/>
    <w:lvl w:ilvl="0" w:tplc="B21EB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68BF"/>
    <w:multiLevelType w:val="hybridMultilevel"/>
    <w:tmpl w:val="84785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F60"/>
    <w:multiLevelType w:val="hybridMultilevel"/>
    <w:tmpl w:val="D1AA25C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CD4259B"/>
    <w:multiLevelType w:val="hybridMultilevel"/>
    <w:tmpl w:val="467EC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87188"/>
    <w:multiLevelType w:val="hybridMultilevel"/>
    <w:tmpl w:val="79CCE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1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</w:rPr>
      </w:lvl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9"/>
    <w:rsid w:val="000000B6"/>
    <w:rsid w:val="00004F36"/>
    <w:rsid w:val="00004FA8"/>
    <w:rsid w:val="00011FB1"/>
    <w:rsid w:val="0001658C"/>
    <w:rsid w:val="0001664A"/>
    <w:rsid w:val="00026E38"/>
    <w:rsid w:val="00030CC6"/>
    <w:rsid w:val="00041581"/>
    <w:rsid w:val="0005234E"/>
    <w:rsid w:val="000528D1"/>
    <w:rsid w:val="00055688"/>
    <w:rsid w:val="0005753E"/>
    <w:rsid w:val="000605CD"/>
    <w:rsid w:val="00062E43"/>
    <w:rsid w:val="00066BCE"/>
    <w:rsid w:val="00075A97"/>
    <w:rsid w:val="0007625D"/>
    <w:rsid w:val="00077AF4"/>
    <w:rsid w:val="000948CA"/>
    <w:rsid w:val="000A41F5"/>
    <w:rsid w:val="000A5048"/>
    <w:rsid w:val="000B0517"/>
    <w:rsid w:val="000B435F"/>
    <w:rsid w:val="000C19F0"/>
    <w:rsid w:val="000C5043"/>
    <w:rsid w:val="000C78FA"/>
    <w:rsid w:val="000D7B7E"/>
    <w:rsid w:val="000E0DB7"/>
    <w:rsid w:val="000F2531"/>
    <w:rsid w:val="00105E18"/>
    <w:rsid w:val="0011033B"/>
    <w:rsid w:val="00110EA3"/>
    <w:rsid w:val="00113D6B"/>
    <w:rsid w:val="00120DBD"/>
    <w:rsid w:val="001225A7"/>
    <w:rsid w:val="00157F05"/>
    <w:rsid w:val="00167E7D"/>
    <w:rsid w:val="0017184C"/>
    <w:rsid w:val="001724AD"/>
    <w:rsid w:val="001729F5"/>
    <w:rsid w:val="00172D8F"/>
    <w:rsid w:val="001932C9"/>
    <w:rsid w:val="001A20B2"/>
    <w:rsid w:val="001C234E"/>
    <w:rsid w:val="001C3EC8"/>
    <w:rsid w:val="001C5E47"/>
    <w:rsid w:val="001D660C"/>
    <w:rsid w:val="001F398C"/>
    <w:rsid w:val="001F4326"/>
    <w:rsid w:val="001F7818"/>
    <w:rsid w:val="002031AD"/>
    <w:rsid w:val="00211483"/>
    <w:rsid w:val="00211BF1"/>
    <w:rsid w:val="00212A77"/>
    <w:rsid w:val="0021348A"/>
    <w:rsid w:val="00214729"/>
    <w:rsid w:val="002168F3"/>
    <w:rsid w:val="002325AA"/>
    <w:rsid w:val="0023469C"/>
    <w:rsid w:val="00236B13"/>
    <w:rsid w:val="00242392"/>
    <w:rsid w:val="00247325"/>
    <w:rsid w:val="002507CE"/>
    <w:rsid w:val="002525C1"/>
    <w:rsid w:val="00265F2B"/>
    <w:rsid w:val="00270BC0"/>
    <w:rsid w:val="00281D8D"/>
    <w:rsid w:val="00285305"/>
    <w:rsid w:val="00285BDE"/>
    <w:rsid w:val="00292300"/>
    <w:rsid w:val="0029245E"/>
    <w:rsid w:val="00296685"/>
    <w:rsid w:val="002A0AA3"/>
    <w:rsid w:val="002C0873"/>
    <w:rsid w:val="002C1817"/>
    <w:rsid w:val="002F22E3"/>
    <w:rsid w:val="002F360B"/>
    <w:rsid w:val="002F7FB3"/>
    <w:rsid w:val="00304781"/>
    <w:rsid w:val="00304DA1"/>
    <w:rsid w:val="00344223"/>
    <w:rsid w:val="003478D9"/>
    <w:rsid w:val="00350409"/>
    <w:rsid w:val="003543AD"/>
    <w:rsid w:val="00357DB3"/>
    <w:rsid w:val="00382BD0"/>
    <w:rsid w:val="0039322E"/>
    <w:rsid w:val="003A1221"/>
    <w:rsid w:val="003A34D6"/>
    <w:rsid w:val="003A55D8"/>
    <w:rsid w:val="003B1518"/>
    <w:rsid w:val="003B24AF"/>
    <w:rsid w:val="003B2F6B"/>
    <w:rsid w:val="003B6B4F"/>
    <w:rsid w:val="003C5DB4"/>
    <w:rsid w:val="003D0204"/>
    <w:rsid w:val="003D23C3"/>
    <w:rsid w:val="003D7653"/>
    <w:rsid w:val="003E47DE"/>
    <w:rsid w:val="003E60C8"/>
    <w:rsid w:val="003F4600"/>
    <w:rsid w:val="00406762"/>
    <w:rsid w:val="00426E1E"/>
    <w:rsid w:val="00427A19"/>
    <w:rsid w:val="004314DC"/>
    <w:rsid w:val="004441E3"/>
    <w:rsid w:val="00445F80"/>
    <w:rsid w:val="00466E5F"/>
    <w:rsid w:val="004736AD"/>
    <w:rsid w:val="00483236"/>
    <w:rsid w:val="0048566B"/>
    <w:rsid w:val="004B1C3F"/>
    <w:rsid w:val="004B4FE3"/>
    <w:rsid w:val="004C093C"/>
    <w:rsid w:val="004C1D1D"/>
    <w:rsid w:val="004C41A2"/>
    <w:rsid w:val="004C4D37"/>
    <w:rsid w:val="004E421D"/>
    <w:rsid w:val="00506516"/>
    <w:rsid w:val="00507134"/>
    <w:rsid w:val="00531E71"/>
    <w:rsid w:val="00532DB2"/>
    <w:rsid w:val="00537226"/>
    <w:rsid w:val="00545D82"/>
    <w:rsid w:val="005502BE"/>
    <w:rsid w:val="00554AFF"/>
    <w:rsid w:val="00561E6C"/>
    <w:rsid w:val="00573C09"/>
    <w:rsid w:val="00573DA3"/>
    <w:rsid w:val="00574C18"/>
    <w:rsid w:val="00576036"/>
    <w:rsid w:val="00584541"/>
    <w:rsid w:val="00585906"/>
    <w:rsid w:val="0058661E"/>
    <w:rsid w:val="00596E10"/>
    <w:rsid w:val="005B432E"/>
    <w:rsid w:val="005B7CCE"/>
    <w:rsid w:val="005C423F"/>
    <w:rsid w:val="005C7637"/>
    <w:rsid w:val="005D41EE"/>
    <w:rsid w:val="00612FAF"/>
    <w:rsid w:val="0061371A"/>
    <w:rsid w:val="0062370A"/>
    <w:rsid w:val="00626489"/>
    <w:rsid w:val="00627F98"/>
    <w:rsid w:val="0063655B"/>
    <w:rsid w:val="00641C33"/>
    <w:rsid w:val="00642C6E"/>
    <w:rsid w:val="00653150"/>
    <w:rsid w:val="006643E2"/>
    <w:rsid w:val="0067674A"/>
    <w:rsid w:val="00685391"/>
    <w:rsid w:val="00690407"/>
    <w:rsid w:val="00690584"/>
    <w:rsid w:val="006A5C7F"/>
    <w:rsid w:val="006B4636"/>
    <w:rsid w:val="006D2397"/>
    <w:rsid w:val="006E22A2"/>
    <w:rsid w:val="006E3FE3"/>
    <w:rsid w:val="006F1B1B"/>
    <w:rsid w:val="00700003"/>
    <w:rsid w:val="00701488"/>
    <w:rsid w:val="00713851"/>
    <w:rsid w:val="00724D22"/>
    <w:rsid w:val="0073229F"/>
    <w:rsid w:val="00733607"/>
    <w:rsid w:val="00734C65"/>
    <w:rsid w:val="007404DC"/>
    <w:rsid w:val="007540F9"/>
    <w:rsid w:val="0075447A"/>
    <w:rsid w:val="00756D88"/>
    <w:rsid w:val="0076490D"/>
    <w:rsid w:val="007A4DCA"/>
    <w:rsid w:val="007A74C9"/>
    <w:rsid w:val="007B1A3F"/>
    <w:rsid w:val="007C292C"/>
    <w:rsid w:val="007C6C20"/>
    <w:rsid w:val="007D5AEA"/>
    <w:rsid w:val="007E705D"/>
    <w:rsid w:val="007F0041"/>
    <w:rsid w:val="008042EA"/>
    <w:rsid w:val="00804AA2"/>
    <w:rsid w:val="008155B8"/>
    <w:rsid w:val="008244D3"/>
    <w:rsid w:val="00833727"/>
    <w:rsid w:val="008410EB"/>
    <w:rsid w:val="00843125"/>
    <w:rsid w:val="00863A75"/>
    <w:rsid w:val="00872D87"/>
    <w:rsid w:val="00887E45"/>
    <w:rsid w:val="00892158"/>
    <w:rsid w:val="00892A34"/>
    <w:rsid w:val="008A6558"/>
    <w:rsid w:val="008B4D0D"/>
    <w:rsid w:val="008B5052"/>
    <w:rsid w:val="008C531F"/>
    <w:rsid w:val="008C69F5"/>
    <w:rsid w:val="008C6CFD"/>
    <w:rsid w:val="008E0DBF"/>
    <w:rsid w:val="008E1520"/>
    <w:rsid w:val="008E2F89"/>
    <w:rsid w:val="008F48CB"/>
    <w:rsid w:val="008F6B1B"/>
    <w:rsid w:val="008F6E90"/>
    <w:rsid w:val="008F70B9"/>
    <w:rsid w:val="008F7C5D"/>
    <w:rsid w:val="0092026B"/>
    <w:rsid w:val="0092374A"/>
    <w:rsid w:val="00925B00"/>
    <w:rsid w:val="0093357B"/>
    <w:rsid w:val="009403B8"/>
    <w:rsid w:val="0094695D"/>
    <w:rsid w:val="00952F52"/>
    <w:rsid w:val="0096252D"/>
    <w:rsid w:val="00972667"/>
    <w:rsid w:val="00983746"/>
    <w:rsid w:val="009B1004"/>
    <w:rsid w:val="009B672F"/>
    <w:rsid w:val="009C2093"/>
    <w:rsid w:val="009C6448"/>
    <w:rsid w:val="009D502A"/>
    <w:rsid w:val="009F179E"/>
    <w:rsid w:val="009F3FE6"/>
    <w:rsid w:val="00A02DC0"/>
    <w:rsid w:val="00A05017"/>
    <w:rsid w:val="00A07176"/>
    <w:rsid w:val="00A13329"/>
    <w:rsid w:val="00A13AA7"/>
    <w:rsid w:val="00A24048"/>
    <w:rsid w:val="00A34B19"/>
    <w:rsid w:val="00A34C34"/>
    <w:rsid w:val="00A36C1F"/>
    <w:rsid w:val="00A41F40"/>
    <w:rsid w:val="00A436DD"/>
    <w:rsid w:val="00A518D6"/>
    <w:rsid w:val="00A5413F"/>
    <w:rsid w:val="00A6067C"/>
    <w:rsid w:val="00A6237B"/>
    <w:rsid w:val="00A67865"/>
    <w:rsid w:val="00A75BEE"/>
    <w:rsid w:val="00A84CC5"/>
    <w:rsid w:val="00A86A76"/>
    <w:rsid w:val="00A916D1"/>
    <w:rsid w:val="00AA1C8F"/>
    <w:rsid w:val="00AA479F"/>
    <w:rsid w:val="00AD02F6"/>
    <w:rsid w:val="00AD3314"/>
    <w:rsid w:val="00AD4C82"/>
    <w:rsid w:val="00AD75A0"/>
    <w:rsid w:val="00AE23C3"/>
    <w:rsid w:val="00AE6178"/>
    <w:rsid w:val="00AF4393"/>
    <w:rsid w:val="00AF4EAA"/>
    <w:rsid w:val="00AF5FCF"/>
    <w:rsid w:val="00AF6552"/>
    <w:rsid w:val="00B04F77"/>
    <w:rsid w:val="00B07AC5"/>
    <w:rsid w:val="00B10878"/>
    <w:rsid w:val="00B21450"/>
    <w:rsid w:val="00B43A9D"/>
    <w:rsid w:val="00B45C51"/>
    <w:rsid w:val="00B57342"/>
    <w:rsid w:val="00B81D0B"/>
    <w:rsid w:val="00B840FB"/>
    <w:rsid w:val="00B93DB8"/>
    <w:rsid w:val="00BA062C"/>
    <w:rsid w:val="00BA0FA8"/>
    <w:rsid w:val="00BA70D5"/>
    <w:rsid w:val="00BB65F2"/>
    <w:rsid w:val="00BD241F"/>
    <w:rsid w:val="00BD2B00"/>
    <w:rsid w:val="00BE411F"/>
    <w:rsid w:val="00BF1E7F"/>
    <w:rsid w:val="00BF68C5"/>
    <w:rsid w:val="00C14C6E"/>
    <w:rsid w:val="00C150D0"/>
    <w:rsid w:val="00C24EEA"/>
    <w:rsid w:val="00C433CB"/>
    <w:rsid w:val="00C468B9"/>
    <w:rsid w:val="00C471C1"/>
    <w:rsid w:val="00C55BD5"/>
    <w:rsid w:val="00C57525"/>
    <w:rsid w:val="00C66463"/>
    <w:rsid w:val="00C7074E"/>
    <w:rsid w:val="00C82531"/>
    <w:rsid w:val="00C85877"/>
    <w:rsid w:val="00C92CA4"/>
    <w:rsid w:val="00CA502F"/>
    <w:rsid w:val="00CB1C08"/>
    <w:rsid w:val="00CB5B74"/>
    <w:rsid w:val="00CB5CD9"/>
    <w:rsid w:val="00CB65E6"/>
    <w:rsid w:val="00CC06E5"/>
    <w:rsid w:val="00CC3BE0"/>
    <w:rsid w:val="00CD152C"/>
    <w:rsid w:val="00CE0C30"/>
    <w:rsid w:val="00CE4066"/>
    <w:rsid w:val="00CE568A"/>
    <w:rsid w:val="00CF28B8"/>
    <w:rsid w:val="00CF42B8"/>
    <w:rsid w:val="00D018A6"/>
    <w:rsid w:val="00D115BE"/>
    <w:rsid w:val="00D22079"/>
    <w:rsid w:val="00D45E2E"/>
    <w:rsid w:val="00D52E35"/>
    <w:rsid w:val="00D71D8C"/>
    <w:rsid w:val="00D73FF1"/>
    <w:rsid w:val="00D74FB2"/>
    <w:rsid w:val="00D902E5"/>
    <w:rsid w:val="00DB2270"/>
    <w:rsid w:val="00DD1F91"/>
    <w:rsid w:val="00DD6410"/>
    <w:rsid w:val="00DD671E"/>
    <w:rsid w:val="00DE07B2"/>
    <w:rsid w:val="00DE7638"/>
    <w:rsid w:val="00DF2E68"/>
    <w:rsid w:val="00DF357B"/>
    <w:rsid w:val="00DF7440"/>
    <w:rsid w:val="00E02CE5"/>
    <w:rsid w:val="00E02EE4"/>
    <w:rsid w:val="00E03488"/>
    <w:rsid w:val="00E05415"/>
    <w:rsid w:val="00E24906"/>
    <w:rsid w:val="00E42B63"/>
    <w:rsid w:val="00E70D3F"/>
    <w:rsid w:val="00E74A0E"/>
    <w:rsid w:val="00E83AF4"/>
    <w:rsid w:val="00E94BE6"/>
    <w:rsid w:val="00EA1212"/>
    <w:rsid w:val="00EA2462"/>
    <w:rsid w:val="00EB07BD"/>
    <w:rsid w:val="00EB1C71"/>
    <w:rsid w:val="00EB28C6"/>
    <w:rsid w:val="00EC4997"/>
    <w:rsid w:val="00EE515E"/>
    <w:rsid w:val="00EE7B1E"/>
    <w:rsid w:val="00EF524E"/>
    <w:rsid w:val="00EF65D9"/>
    <w:rsid w:val="00EF781B"/>
    <w:rsid w:val="00F0318D"/>
    <w:rsid w:val="00F120E7"/>
    <w:rsid w:val="00F12752"/>
    <w:rsid w:val="00F20D51"/>
    <w:rsid w:val="00F279F4"/>
    <w:rsid w:val="00F44257"/>
    <w:rsid w:val="00F44CCE"/>
    <w:rsid w:val="00F470E2"/>
    <w:rsid w:val="00F47CCD"/>
    <w:rsid w:val="00F52E36"/>
    <w:rsid w:val="00F71199"/>
    <w:rsid w:val="00F73BBB"/>
    <w:rsid w:val="00F80735"/>
    <w:rsid w:val="00F8608B"/>
    <w:rsid w:val="00FB38A1"/>
    <w:rsid w:val="00FB4689"/>
    <w:rsid w:val="00FC0899"/>
    <w:rsid w:val="00FC25FB"/>
    <w:rsid w:val="00FC2AAD"/>
    <w:rsid w:val="00FC4FE7"/>
    <w:rsid w:val="00FC6BB5"/>
    <w:rsid w:val="00FD56E6"/>
    <w:rsid w:val="00FD70CC"/>
    <w:rsid w:val="00FE707D"/>
    <w:rsid w:val="00FF3D2D"/>
    <w:rsid w:val="00FF4AC9"/>
    <w:rsid w:val="00FF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EABC7-6A92-4CA0-AC6F-86744233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2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qFormat/>
    <w:rsid w:val="000528D1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rsid w:val="000528D1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qFormat/>
    <w:rsid w:val="000528D1"/>
    <w:pPr>
      <w:keepNext/>
      <w:jc w:val="both"/>
      <w:outlineLvl w:val="4"/>
    </w:pPr>
    <w:rPr>
      <w:b/>
      <w:i/>
      <w:iCs/>
      <w:sz w:val="22"/>
      <w:u w:val="single"/>
      <w:lang w:val="en-GB"/>
    </w:rPr>
  </w:style>
  <w:style w:type="paragraph" w:styleId="Heading6">
    <w:name w:val="heading 6"/>
    <w:basedOn w:val="Normal"/>
    <w:next w:val="Normal"/>
    <w:qFormat/>
    <w:rsid w:val="000528D1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qFormat/>
    <w:rsid w:val="000528D1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Arial" w:hAnsi="Arial"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528D1"/>
  </w:style>
  <w:style w:type="paragraph" w:customStyle="1" w:styleId="Level1">
    <w:name w:val="Level 1"/>
    <w:basedOn w:val="Normal"/>
    <w:rsid w:val="000528D1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rsid w:val="000528D1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rsid w:val="000528D1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rsid w:val="000528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GB"/>
    </w:rPr>
  </w:style>
  <w:style w:type="paragraph" w:customStyle="1" w:styleId="Preformatted">
    <w:name w:val="Preformatted"/>
    <w:rsid w:val="000528D1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rsid w:val="000528D1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basedOn w:val="DefaultParagraphFont"/>
    <w:rsid w:val="000528D1"/>
  </w:style>
  <w:style w:type="paragraph" w:styleId="Header">
    <w:name w:val="header"/>
    <w:basedOn w:val="Normal"/>
    <w:rsid w:val="000528D1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528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28D1"/>
    <w:pPr>
      <w:ind w:left="720" w:hanging="720"/>
      <w:jc w:val="both"/>
    </w:pPr>
    <w:rPr>
      <w:sz w:val="22"/>
      <w:lang w:val="en-GB"/>
    </w:rPr>
  </w:style>
  <w:style w:type="paragraph" w:styleId="BodyText">
    <w:name w:val="Body Text"/>
    <w:basedOn w:val="Normal"/>
    <w:rsid w:val="000528D1"/>
    <w:pPr>
      <w:jc w:val="both"/>
    </w:pPr>
    <w:rPr>
      <w:sz w:val="22"/>
      <w:lang w:val="en-GB"/>
    </w:rPr>
  </w:style>
  <w:style w:type="character" w:styleId="Hyperlink">
    <w:name w:val="Hyperlink"/>
    <w:rsid w:val="000528D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528D1"/>
    <w:rPr>
      <w:szCs w:val="20"/>
    </w:rPr>
  </w:style>
  <w:style w:type="paragraph" w:styleId="BodyText2">
    <w:name w:val="Body Text 2"/>
    <w:basedOn w:val="Normal"/>
    <w:rsid w:val="000528D1"/>
    <w:rPr>
      <w:sz w:val="22"/>
    </w:rPr>
  </w:style>
  <w:style w:type="paragraph" w:styleId="BalloonText">
    <w:name w:val="Balloon Text"/>
    <w:basedOn w:val="Normal"/>
    <w:semiHidden/>
    <w:rsid w:val="000528D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528D1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paragraph" w:styleId="BlockText">
    <w:name w:val="Block Text"/>
    <w:basedOn w:val="Normal"/>
    <w:rsid w:val="000528D1"/>
    <w:pPr>
      <w:ind w:left="1418" w:right="283" w:hanging="709"/>
    </w:pPr>
    <w:rPr>
      <w:sz w:val="24"/>
      <w:szCs w:val="23"/>
    </w:rPr>
  </w:style>
  <w:style w:type="paragraph" w:customStyle="1" w:styleId="Standard">
    <w:name w:val="Standard"/>
    <w:basedOn w:val="Normal"/>
    <w:rsid w:val="000528D1"/>
    <w:pPr>
      <w:tabs>
        <w:tab w:val="left" w:pos="-1440"/>
        <w:tab w:val="left" w:pos="-732"/>
        <w:tab w:val="left" w:pos="0"/>
        <w:tab w:val="left" w:pos="685"/>
        <w:tab w:val="left" w:pos="1395"/>
        <w:tab w:val="left" w:pos="2104"/>
        <w:tab w:val="left" w:pos="2814"/>
        <w:tab w:val="left" w:pos="3522"/>
        <w:tab w:val="left" w:pos="4230"/>
        <w:tab w:val="left" w:pos="4939"/>
        <w:tab w:val="left" w:pos="5649"/>
        <w:tab w:val="left" w:pos="6358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596E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04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AA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F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FA8"/>
  </w:style>
  <w:style w:type="character" w:styleId="EndnoteReference">
    <w:name w:val="endnote reference"/>
    <w:uiPriority w:val="99"/>
    <w:semiHidden/>
    <w:unhideWhenUsed/>
    <w:rsid w:val="00BA0FA8"/>
    <w:rPr>
      <w:vertAlign w:val="superscript"/>
    </w:rPr>
  </w:style>
  <w:style w:type="character" w:styleId="Emphasis">
    <w:name w:val="Emphasis"/>
    <w:uiPriority w:val="20"/>
    <w:qFormat/>
    <w:rsid w:val="00F47CCD"/>
    <w:rPr>
      <w:i/>
      <w:iCs/>
    </w:rPr>
  </w:style>
  <w:style w:type="paragraph" w:styleId="NormalWeb">
    <w:name w:val="Normal (Web)"/>
    <w:basedOn w:val="Normal"/>
    <w:uiPriority w:val="99"/>
    <w:unhideWhenUsed/>
    <w:rsid w:val="00F47C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F47CCD"/>
    <w:rPr>
      <w:b/>
      <w:bCs/>
    </w:rPr>
  </w:style>
  <w:style w:type="paragraph" w:customStyle="1" w:styleId="MediumGrid21">
    <w:name w:val="Medium Grid 21"/>
    <w:uiPriority w:val="99"/>
    <w:qFormat/>
    <w:rsid w:val="008F7C5D"/>
    <w:rPr>
      <w:rFonts w:ascii="Calibri" w:hAnsi="Calibri" w:cs="Calibr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8F7C5D"/>
    <w:rPr>
      <w:rFonts w:ascii="Calibri" w:hAnsi="Calibri"/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5"/>
    <w:rsid w:val="00EF781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ms Rmn" w:eastAsia="Times New Roman" w:hAnsi="Tms Rm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1">
    <w:name w:val="Medium Shading 1 Accent 1"/>
    <w:basedOn w:val="TableNormal"/>
    <w:uiPriority w:val="68"/>
    <w:rsid w:val="00EF781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ListParagraph1">
    <w:name w:val="List Paragraph1"/>
    <w:basedOn w:val="TableNormal"/>
    <w:uiPriority w:val="72"/>
    <w:qFormat/>
    <w:rsid w:val="00EF781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1-Accent6">
    <w:name w:val="Medium Grid 1 Accent 6"/>
    <w:basedOn w:val="TableNormal"/>
    <w:uiPriority w:val="72"/>
    <w:rsid w:val="00EF781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styleId="FollowedHyperlink">
    <w:name w:val="FollowedHyperlink"/>
    <w:uiPriority w:val="99"/>
    <w:semiHidden/>
    <w:unhideWhenUsed/>
    <w:rsid w:val="00EF781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A20B2"/>
  </w:style>
  <w:style w:type="paragraph" w:styleId="PlainText">
    <w:name w:val="Plain Text"/>
    <w:basedOn w:val="Normal"/>
    <w:link w:val="PlainTextChar"/>
    <w:uiPriority w:val="99"/>
    <w:unhideWhenUsed/>
    <w:rsid w:val="000C78FA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C78FA"/>
    <w:rPr>
      <w:rFonts w:ascii="Calibri" w:eastAsia="Calibri" w:hAnsi="Calibri" w:cs="Times New Roman"/>
      <w:sz w:val="22"/>
      <w:szCs w:val="21"/>
    </w:rPr>
  </w:style>
  <w:style w:type="character" w:customStyle="1" w:styleId="FooterChar">
    <w:name w:val="Footer Char"/>
    <w:link w:val="Footer"/>
    <w:uiPriority w:val="99"/>
    <w:rsid w:val="0005753E"/>
    <w:rPr>
      <w:szCs w:val="24"/>
    </w:rPr>
  </w:style>
  <w:style w:type="numbering" w:customStyle="1" w:styleId="Style1">
    <w:name w:val="Style1"/>
    <w:uiPriority w:val="99"/>
    <w:rsid w:val="00055688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B45C5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4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0DFA-D1EA-4725-B9DD-7F4E4191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2983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19302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Linette Eitz Lamare</dc:creator>
  <cp:keywords/>
  <dc:description/>
  <cp:lastModifiedBy>Eva Meyers</cp:lastModifiedBy>
  <cp:revision>9</cp:revision>
  <cp:lastPrinted>2016-01-14T10:01:00Z</cp:lastPrinted>
  <dcterms:created xsi:type="dcterms:W3CDTF">2016-01-16T17:21:00Z</dcterms:created>
  <dcterms:modified xsi:type="dcterms:W3CDTF">2016-01-18T15:53:00Z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