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9120" w:type="dxa"/>
        <w:tblBorders>
          <w:insideV w:val="single" w:sz="12" w:space="0" w:color="auto"/>
        </w:tblBorders>
        <w:tblLayout w:type="fixed"/>
        <w:tblCellMar>
          <w:top w:w="198" w:type="dxa"/>
        </w:tblCellMar>
        <w:tblLook w:val="0000" w:firstRow="0" w:lastRow="0" w:firstColumn="0" w:lastColumn="0" w:noHBand="0" w:noVBand="0"/>
      </w:tblPr>
      <w:tblGrid>
        <w:gridCol w:w="1577"/>
        <w:gridCol w:w="4564"/>
        <w:gridCol w:w="2979"/>
      </w:tblGrid>
      <w:tr w:rsidR="003C6CDE" w:rsidRPr="00FD56E6" w:rsidTr="00C24104">
        <w:trPr>
          <w:cantSplit/>
          <w:trHeight w:val="749"/>
        </w:trPr>
        <w:tc>
          <w:tcPr>
            <w:tcW w:w="9120" w:type="dxa"/>
            <w:gridSpan w:val="3"/>
            <w:tcBorders>
              <w:bottom w:val="single" w:sz="12" w:space="0" w:color="auto"/>
            </w:tcBorders>
            <w:tcMar>
              <w:top w:w="85" w:type="dxa"/>
            </w:tcMar>
          </w:tcPr>
          <w:p w:rsidR="003C6CDE" w:rsidRPr="00FD56E6" w:rsidRDefault="00374A71" w:rsidP="00533149">
            <w:pPr>
              <w:tabs>
                <w:tab w:val="left" w:pos="-1057"/>
                <w:tab w:val="left" w:pos="-720"/>
                <w:tab w:val="left" w:pos="0"/>
                <w:tab w:val="left" w:pos="141"/>
                <w:tab w:val="left" w:pos="720"/>
                <w:tab w:val="right" w:pos="8955"/>
              </w:tabs>
              <w:jc w:val="both"/>
              <w:rPr>
                <w:sz w:val="22"/>
              </w:rPr>
            </w:pPr>
            <w:r>
              <w:rPr>
                <w:noProof/>
                <w:sz w:val="22"/>
                <w:lang w:val="en-US" w:eastAsia="en-US"/>
              </w:rPr>
              <w:drawing>
                <wp:inline distT="0" distB="0" distL="0" distR="0" wp14:anchorId="4D937BF4" wp14:editId="2E070E77">
                  <wp:extent cx="304800" cy="3333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3871" t="-2544" r="-3871" b="-2544"/>
                          <a:stretch>
                            <a:fillRect/>
                          </a:stretch>
                        </pic:blipFill>
                        <pic:spPr bwMode="auto">
                          <a:xfrm>
                            <a:off x="0" y="0"/>
                            <a:ext cx="304800" cy="333375"/>
                          </a:xfrm>
                          <a:prstGeom prst="rect">
                            <a:avLst/>
                          </a:prstGeom>
                          <a:noFill/>
                          <a:ln>
                            <a:noFill/>
                          </a:ln>
                        </pic:spPr>
                      </pic:pic>
                    </a:graphicData>
                  </a:graphic>
                </wp:inline>
              </w:drawing>
            </w:r>
            <w:r>
              <w:rPr>
                <w:noProof/>
                <w:sz w:val="22"/>
                <w:lang w:val="en-US" w:eastAsia="en-US"/>
              </w:rPr>
              <w:drawing>
                <wp:inline distT="0" distB="0" distL="0" distR="0" wp14:anchorId="5FC2C85D" wp14:editId="4E8D8F85">
                  <wp:extent cx="36195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795" t="-1309" r="60143" b="48778"/>
                          <a:stretch>
                            <a:fillRect/>
                          </a:stretch>
                        </pic:blipFill>
                        <pic:spPr bwMode="auto">
                          <a:xfrm>
                            <a:off x="0" y="0"/>
                            <a:ext cx="361950" cy="381000"/>
                          </a:xfrm>
                          <a:prstGeom prst="rect">
                            <a:avLst/>
                          </a:prstGeom>
                          <a:noFill/>
                          <a:ln>
                            <a:noFill/>
                          </a:ln>
                        </pic:spPr>
                      </pic:pic>
                    </a:graphicData>
                  </a:graphic>
                </wp:inline>
              </w:drawing>
            </w:r>
            <w:r w:rsidR="003C6CDE">
              <w:tab/>
            </w:r>
            <w:r>
              <w:rPr>
                <w:noProof/>
                <w:sz w:val="22"/>
                <w:lang w:val="en-US" w:eastAsia="en-US"/>
              </w:rPr>
              <w:drawing>
                <wp:inline distT="0" distB="0" distL="0" distR="0" wp14:anchorId="27C7C533" wp14:editId="35E4EDE0">
                  <wp:extent cx="247650" cy="3238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2533" t="-726" r="-2533" b="-726"/>
                          <a:stretch>
                            <a:fillRect/>
                          </a:stretch>
                        </pic:blipFill>
                        <pic:spPr bwMode="auto">
                          <a:xfrm>
                            <a:off x="0" y="0"/>
                            <a:ext cx="247650" cy="323850"/>
                          </a:xfrm>
                          <a:prstGeom prst="rect">
                            <a:avLst/>
                          </a:prstGeom>
                          <a:noFill/>
                          <a:ln>
                            <a:noFill/>
                          </a:ln>
                        </pic:spPr>
                      </pic:pic>
                    </a:graphicData>
                  </a:graphic>
                </wp:inline>
              </w:drawing>
            </w:r>
          </w:p>
        </w:tc>
      </w:tr>
      <w:tr w:rsidR="003C6CDE" w:rsidRPr="007C5719" w:rsidTr="00C24104">
        <w:trPr>
          <w:trHeight w:val="1569"/>
        </w:trPr>
        <w:tc>
          <w:tcPr>
            <w:tcW w:w="1577" w:type="dxa"/>
            <w:tcBorders>
              <w:top w:val="single" w:sz="12" w:space="0" w:color="auto"/>
              <w:bottom w:val="single" w:sz="12" w:space="0" w:color="auto"/>
              <w:right w:val="nil"/>
            </w:tcBorders>
            <w:tcMar>
              <w:top w:w="85" w:type="dxa"/>
            </w:tcMar>
          </w:tcPr>
          <w:p w:rsidR="003C6CDE" w:rsidRPr="007C5719" w:rsidRDefault="00B6267F" w:rsidP="00533149">
            <w:pPr>
              <w:jc w:val="both"/>
              <w:rPr>
                <w:sz w:val="22"/>
              </w:rPr>
            </w:pPr>
            <w:r>
              <w:rPr>
                <w:noProof/>
                <w:lang w:val="en-US" w:eastAsia="en-US"/>
              </w:rPr>
              <w:drawing>
                <wp:anchor distT="0" distB="0" distL="114300" distR="114300" simplePos="0" relativeHeight="251658240" behindDoc="0" locked="0" layoutInCell="1" allowOverlap="1" wp14:anchorId="27E1EDCD" wp14:editId="216C9E81">
                  <wp:simplePos x="0" y="0"/>
                  <wp:positionH relativeFrom="column">
                    <wp:posOffset>-6350</wp:posOffset>
                  </wp:positionH>
                  <wp:positionV relativeFrom="paragraph">
                    <wp:posOffset>-635</wp:posOffset>
                  </wp:positionV>
                  <wp:extent cx="1029970" cy="87947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pic:spPr>
                      </pic:pic>
                    </a:graphicData>
                  </a:graphic>
                  <wp14:sizeRelH relativeFrom="page">
                    <wp14:pctWidth>0</wp14:pctWidth>
                  </wp14:sizeRelH>
                  <wp14:sizeRelV relativeFrom="page">
                    <wp14:pctHeight>0</wp14:pctHeight>
                  </wp14:sizeRelV>
                </wp:anchor>
              </w:drawing>
            </w:r>
          </w:p>
        </w:tc>
        <w:tc>
          <w:tcPr>
            <w:tcW w:w="4564" w:type="dxa"/>
            <w:tcBorders>
              <w:top w:val="single" w:sz="12" w:space="0" w:color="auto"/>
              <w:left w:val="nil"/>
              <w:bottom w:val="single" w:sz="12" w:space="0" w:color="auto"/>
              <w:right w:val="nil"/>
            </w:tcBorders>
            <w:tcMar>
              <w:top w:w="85" w:type="dxa"/>
            </w:tcMar>
          </w:tcPr>
          <w:p w:rsidR="003C6CDE" w:rsidRPr="00B26CF2" w:rsidRDefault="003C6CDE" w:rsidP="00533149">
            <w:pPr>
              <w:ind w:left="274"/>
              <w:rPr>
                <w:b/>
                <w:bCs/>
              </w:rPr>
            </w:pPr>
            <w:r w:rsidRPr="00B26CF2">
              <w:rPr>
                <w:b/>
              </w:rPr>
              <w:t>MEMORANDO DE ENTENDIMIENTO SOBRE LA CONSERVACIÓN DE LOS TIBURONES MIGRATORIOS</w:t>
            </w:r>
          </w:p>
          <w:p w:rsidR="003C6CDE" w:rsidRPr="00B26CF2" w:rsidRDefault="003C6CDE" w:rsidP="00533149">
            <w:pPr>
              <w:jc w:val="both"/>
              <w:rPr>
                <w:b/>
                <w:bCs/>
                <w:sz w:val="22"/>
              </w:rPr>
            </w:pPr>
          </w:p>
        </w:tc>
        <w:tc>
          <w:tcPr>
            <w:tcW w:w="2978" w:type="dxa"/>
            <w:tcBorders>
              <w:top w:val="single" w:sz="12" w:space="0" w:color="auto"/>
              <w:left w:val="nil"/>
              <w:bottom w:val="single" w:sz="12" w:space="0" w:color="auto"/>
            </w:tcBorders>
            <w:tcMar>
              <w:top w:w="85" w:type="dxa"/>
            </w:tcMar>
          </w:tcPr>
          <w:p w:rsidR="003C6CDE" w:rsidRPr="00B26CF2" w:rsidRDefault="003C6CDE" w:rsidP="00533149">
            <w:pPr>
              <w:ind w:left="-36" w:right="-108"/>
              <w:jc w:val="both"/>
              <w:rPr>
                <w:sz w:val="22"/>
              </w:rPr>
            </w:pPr>
            <w:r w:rsidRPr="00B26CF2">
              <w:rPr>
                <w:sz w:val="22"/>
              </w:rPr>
              <w:t>CMS/Sharks/MOS2/Doc.9.1</w:t>
            </w:r>
          </w:p>
          <w:p w:rsidR="003C6CDE" w:rsidRPr="00B26CF2" w:rsidRDefault="003C6CDE" w:rsidP="00533149">
            <w:pPr>
              <w:ind w:left="-36" w:right="-108"/>
              <w:jc w:val="both"/>
              <w:rPr>
                <w:sz w:val="22"/>
              </w:rPr>
            </w:pPr>
          </w:p>
          <w:p w:rsidR="003C6CDE" w:rsidRPr="00B26CF2" w:rsidRDefault="00B26CF2" w:rsidP="00533149">
            <w:pPr>
              <w:ind w:left="-36" w:right="-108"/>
              <w:jc w:val="both"/>
              <w:rPr>
                <w:sz w:val="22"/>
              </w:rPr>
            </w:pPr>
            <w:r w:rsidRPr="00337FE0">
              <w:rPr>
                <w:sz w:val="22"/>
              </w:rPr>
              <w:t>16</w:t>
            </w:r>
            <w:r w:rsidR="003C6CDE" w:rsidRPr="00337FE0">
              <w:rPr>
                <w:sz w:val="22"/>
              </w:rPr>
              <w:t xml:space="preserve"> de enero de 2016</w:t>
            </w:r>
          </w:p>
          <w:p w:rsidR="003C6CDE" w:rsidRPr="00B26CF2" w:rsidRDefault="003C6CDE" w:rsidP="00533149">
            <w:pPr>
              <w:ind w:left="-36" w:right="-108"/>
              <w:jc w:val="both"/>
              <w:rPr>
                <w:sz w:val="22"/>
              </w:rPr>
            </w:pPr>
          </w:p>
          <w:p w:rsidR="003C6CDE" w:rsidRPr="00337FE0" w:rsidRDefault="003C6CDE" w:rsidP="00533149">
            <w:pPr>
              <w:tabs>
                <w:tab w:val="right" w:pos="1391"/>
              </w:tabs>
              <w:jc w:val="both"/>
              <w:rPr>
                <w:sz w:val="22"/>
              </w:rPr>
            </w:pPr>
            <w:r w:rsidRPr="00337FE0">
              <w:rPr>
                <w:sz w:val="22"/>
              </w:rPr>
              <w:t>Español</w:t>
            </w:r>
          </w:p>
          <w:p w:rsidR="003C6CDE" w:rsidRPr="00337FE0" w:rsidRDefault="003C6CDE" w:rsidP="00533149">
            <w:pPr>
              <w:tabs>
                <w:tab w:val="right" w:pos="1391"/>
              </w:tabs>
              <w:jc w:val="both"/>
              <w:rPr>
                <w:sz w:val="22"/>
              </w:rPr>
            </w:pPr>
            <w:r w:rsidRPr="00337FE0">
              <w:rPr>
                <w:sz w:val="22"/>
              </w:rPr>
              <w:t>Original: Inglés</w:t>
            </w:r>
          </w:p>
        </w:tc>
      </w:tr>
    </w:tbl>
    <w:p w:rsidR="003C6CDE" w:rsidRPr="009C0AFC" w:rsidRDefault="003C6CDE" w:rsidP="00533149">
      <w:pPr>
        <w:spacing w:line="228" w:lineRule="auto"/>
        <w:jc w:val="both"/>
        <w:rPr>
          <w:spacing w:val="-4"/>
          <w:sz w:val="22"/>
          <w:szCs w:val="22"/>
        </w:rPr>
      </w:pPr>
      <w:r>
        <w:rPr>
          <w:spacing w:val="-4"/>
          <w:sz w:val="22"/>
        </w:rPr>
        <w:t xml:space="preserve">Segunda Reunión de los Signatarios </w:t>
      </w:r>
    </w:p>
    <w:p w:rsidR="003C6CDE" w:rsidRPr="00533149" w:rsidRDefault="003C6CDE" w:rsidP="00533149">
      <w:pPr>
        <w:spacing w:line="228" w:lineRule="auto"/>
        <w:jc w:val="both"/>
        <w:rPr>
          <w:iCs/>
          <w:sz w:val="22"/>
          <w:szCs w:val="22"/>
        </w:rPr>
      </w:pPr>
      <w:r>
        <w:rPr>
          <w:sz w:val="22"/>
        </w:rPr>
        <w:t>San José (Costa Rica), 15-19 de febrero de 2016</w:t>
      </w:r>
    </w:p>
    <w:p w:rsidR="003C6CDE" w:rsidRPr="00533149" w:rsidRDefault="003C6CDE" w:rsidP="00533149">
      <w:pPr>
        <w:jc w:val="both"/>
        <w:rPr>
          <w:sz w:val="22"/>
          <w:szCs w:val="22"/>
        </w:rPr>
      </w:pPr>
      <w:r>
        <w:rPr>
          <w:sz w:val="22"/>
        </w:rPr>
        <w:t>Punto 9 del orden del día</w:t>
      </w:r>
    </w:p>
    <w:p w:rsidR="003C6CDE" w:rsidRPr="00533149" w:rsidRDefault="003C6CDE" w:rsidP="00F94FA8">
      <w:pPr>
        <w:jc w:val="both"/>
        <w:rPr>
          <w:sz w:val="22"/>
          <w:szCs w:val="22"/>
        </w:rPr>
      </w:pPr>
    </w:p>
    <w:p w:rsidR="003C6CDE" w:rsidRPr="00533149" w:rsidRDefault="003C6CDE" w:rsidP="00804AA2">
      <w:pPr>
        <w:jc w:val="both"/>
        <w:rPr>
          <w:sz w:val="22"/>
          <w:szCs w:val="22"/>
        </w:rPr>
      </w:pPr>
    </w:p>
    <w:p w:rsidR="003C6CDE" w:rsidRPr="00533149" w:rsidRDefault="003C6CDE" w:rsidP="00804AA2">
      <w:pPr>
        <w:jc w:val="both"/>
        <w:rPr>
          <w:sz w:val="22"/>
          <w:szCs w:val="22"/>
        </w:rPr>
      </w:pPr>
    </w:p>
    <w:p w:rsidR="003C6CDE" w:rsidRPr="002C1435" w:rsidRDefault="003C6CDE" w:rsidP="008C531F">
      <w:pPr>
        <w:jc w:val="center"/>
        <w:rPr>
          <w:b/>
          <w:bCs/>
          <w:sz w:val="24"/>
        </w:rPr>
      </w:pPr>
      <w:r w:rsidRPr="002C1435">
        <w:rPr>
          <w:b/>
          <w:sz w:val="24"/>
        </w:rPr>
        <w:t>PROGRAMA DE TRABAJO (2016-2018)</w:t>
      </w:r>
    </w:p>
    <w:p w:rsidR="003C6CDE" w:rsidRPr="002C1435" w:rsidRDefault="003C6CDE" w:rsidP="008C531F">
      <w:pPr>
        <w:jc w:val="center"/>
        <w:rPr>
          <w:b/>
          <w:bCs/>
          <w:sz w:val="24"/>
        </w:rPr>
      </w:pPr>
      <w:r w:rsidRPr="002C1435">
        <w:rPr>
          <w:b/>
          <w:sz w:val="24"/>
        </w:rPr>
        <w:t xml:space="preserve">PRESTAR APOYO A LA APLICACIÓN DEL MEMORANDO DE ENTENDIMIENTO DE LA CMS SOBRE LA CONSERVACIÓN DE LOS TIBURONES MIGRATORIOS </w:t>
      </w:r>
    </w:p>
    <w:p w:rsidR="003C6CDE" w:rsidRPr="0058661E" w:rsidRDefault="003C6CDE" w:rsidP="00C433CB">
      <w:pPr>
        <w:jc w:val="center"/>
        <w:rPr>
          <w:b/>
          <w:bCs/>
          <w:sz w:val="24"/>
        </w:rPr>
      </w:pPr>
    </w:p>
    <w:p w:rsidR="003C6CDE" w:rsidRPr="0058661E" w:rsidRDefault="003C6CDE" w:rsidP="00AE6178">
      <w:pPr>
        <w:jc w:val="center"/>
        <w:rPr>
          <w:bCs/>
          <w:i/>
          <w:sz w:val="24"/>
        </w:rPr>
      </w:pPr>
      <w:r>
        <w:rPr>
          <w:i/>
          <w:sz w:val="24"/>
        </w:rPr>
        <w:t>(Preparado por la Secretaría)</w:t>
      </w:r>
    </w:p>
    <w:p w:rsidR="003C6CDE" w:rsidRPr="0058661E" w:rsidRDefault="003C6CDE" w:rsidP="00BD241F">
      <w:pPr>
        <w:jc w:val="center"/>
        <w:rPr>
          <w:bCs/>
          <w:i/>
          <w:sz w:val="24"/>
        </w:rPr>
      </w:pPr>
    </w:p>
    <w:p w:rsidR="003C6CDE" w:rsidRPr="0058661E" w:rsidRDefault="003C6CDE" w:rsidP="00BD241F">
      <w:pPr>
        <w:jc w:val="center"/>
        <w:rPr>
          <w:bCs/>
          <w:i/>
          <w:sz w:val="24"/>
        </w:rPr>
      </w:pPr>
    </w:p>
    <w:p w:rsidR="003C6CDE" w:rsidRPr="0058661E" w:rsidRDefault="003C6CDE" w:rsidP="00055688">
      <w:pPr>
        <w:tabs>
          <w:tab w:val="left" w:pos="360"/>
          <w:tab w:val="left" w:pos="720"/>
        </w:tabs>
        <w:spacing w:line="276" w:lineRule="auto"/>
        <w:jc w:val="both"/>
        <w:rPr>
          <w:sz w:val="24"/>
        </w:rPr>
      </w:pPr>
    </w:p>
    <w:p w:rsidR="003C6CDE" w:rsidRDefault="003C6CDE" w:rsidP="002C1435">
      <w:pPr>
        <w:pStyle w:val="ColorfulList-Accent11"/>
        <w:rPr>
          <w:sz w:val="24"/>
        </w:rPr>
      </w:pPr>
    </w:p>
    <w:p w:rsidR="003C6CDE" w:rsidRPr="000605CD" w:rsidRDefault="003C6CDE" w:rsidP="002C1435">
      <w:pPr>
        <w:pStyle w:val="ColorfulList-Accent11"/>
        <w:widowControl/>
        <w:numPr>
          <w:ilvl w:val="0"/>
          <w:numId w:val="3"/>
        </w:numPr>
        <w:tabs>
          <w:tab w:val="left" w:pos="0"/>
          <w:tab w:val="left" w:pos="720"/>
        </w:tabs>
        <w:autoSpaceDE/>
        <w:autoSpaceDN/>
        <w:adjustRightInd/>
        <w:ind w:left="0" w:firstLine="0"/>
        <w:jc w:val="both"/>
        <w:rPr>
          <w:sz w:val="24"/>
        </w:rPr>
      </w:pPr>
      <w:r>
        <w:rPr>
          <w:sz w:val="24"/>
        </w:rPr>
        <w:t xml:space="preserve">Se ha elaborado un proyecto de Programa de Trabajo (PdT) con objeto de proporcionar orientación a los Signatarios, al Comité Asesor (CA) y a la Secretaría para el próximo trienio 2016-2018. Las actividades del Plan de Conservación y los mandatos para la gestión del MdE se han convertido </w:t>
      </w:r>
      <w:r w:rsidR="002C1435">
        <w:rPr>
          <w:sz w:val="24"/>
        </w:rPr>
        <w:t>en tareas concretas, con el fin</w:t>
      </w:r>
      <w:r>
        <w:rPr>
          <w:sz w:val="24"/>
        </w:rPr>
        <w:t xml:space="preserve"> de conservar y gestionar los tiburones migratorios y sus hábitats de la manera más eficaz posible. </w:t>
      </w:r>
    </w:p>
    <w:p w:rsidR="003C6CDE" w:rsidRPr="000605CD" w:rsidRDefault="003C6CDE" w:rsidP="002C1435">
      <w:pPr>
        <w:pStyle w:val="ColorfulList-Accent11"/>
        <w:widowControl/>
        <w:tabs>
          <w:tab w:val="left" w:pos="0"/>
          <w:tab w:val="left" w:pos="720"/>
        </w:tabs>
        <w:autoSpaceDE/>
        <w:autoSpaceDN/>
        <w:adjustRightInd/>
        <w:ind w:left="0"/>
        <w:jc w:val="both"/>
        <w:rPr>
          <w:sz w:val="24"/>
        </w:rPr>
      </w:pPr>
    </w:p>
    <w:p w:rsidR="003C6CDE" w:rsidRPr="00F279F4" w:rsidRDefault="003C6CDE" w:rsidP="002C1435">
      <w:pPr>
        <w:pStyle w:val="ColorfulList-Accent11"/>
        <w:widowControl/>
        <w:numPr>
          <w:ilvl w:val="0"/>
          <w:numId w:val="3"/>
        </w:numPr>
        <w:tabs>
          <w:tab w:val="left" w:pos="0"/>
          <w:tab w:val="left" w:pos="720"/>
        </w:tabs>
        <w:autoSpaceDE/>
        <w:autoSpaceDN/>
        <w:adjustRightInd/>
        <w:ind w:left="0" w:firstLine="0"/>
        <w:jc w:val="both"/>
        <w:rPr>
          <w:sz w:val="24"/>
        </w:rPr>
      </w:pPr>
      <w:r>
        <w:rPr>
          <w:sz w:val="24"/>
        </w:rPr>
        <w:t xml:space="preserve">El proyecto de PdT contiene medidas prioritarias para la aplicación, determinadas por el CA centrando la atención en las prioridades del Plan de Conservación y según se describen en el documento CMS/Sharks/MOS2/Doc.8.3.1. Además, en el PdT se especifican las funciones básicas asignadas a la Secretaría y al CA en sus respectivos mandatos en los que se proporciona una lista de tareas y actividades concretas. </w:t>
      </w:r>
    </w:p>
    <w:p w:rsidR="003C6CDE" w:rsidRPr="00F279F4" w:rsidRDefault="003C6CDE" w:rsidP="002C1435">
      <w:pPr>
        <w:rPr>
          <w:sz w:val="24"/>
        </w:rPr>
      </w:pPr>
    </w:p>
    <w:p w:rsidR="003C6CDE" w:rsidRPr="00F279F4" w:rsidRDefault="003C6CDE" w:rsidP="002C1435">
      <w:pPr>
        <w:pStyle w:val="ColorfulList-Accent11"/>
        <w:widowControl/>
        <w:numPr>
          <w:ilvl w:val="0"/>
          <w:numId w:val="3"/>
        </w:numPr>
        <w:tabs>
          <w:tab w:val="left" w:pos="0"/>
          <w:tab w:val="left" w:pos="720"/>
        </w:tabs>
        <w:autoSpaceDE/>
        <w:autoSpaceDN/>
        <w:adjustRightInd/>
        <w:ind w:left="0" w:firstLine="0"/>
        <w:jc w:val="both"/>
        <w:rPr>
          <w:sz w:val="24"/>
        </w:rPr>
      </w:pPr>
      <w:r>
        <w:rPr>
          <w:sz w:val="24"/>
        </w:rPr>
        <w:t xml:space="preserve">Se concluyó un estudio para determinar las medidas prioritarias de conservación para las especies incluidas en el Anexo 1 del MdE, a fin de complementar el proyecto de PdT (véase el doc. CMS/Sharks/MOS2/Doc.9.2). Las medidas prioritarias detalladas determinadas en este estudio pueden verse en el doc. CMS/Sharks/MOS2/Inf.11 y se ajustan a las necesidades específicas según las especies y a las necesidades regionales. </w:t>
      </w:r>
    </w:p>
    <w:p w:rsidR="003C6CDE" w:rsidRDefault="003C6CDE" w:rsidP="002C1435">
      <w:pPr>
        <w:pStyle w:val="ColorfulList-Accent11"/>
        <w:jc w:val="both"/>
        <w:rPr>
          <w:sz w:val="24"/>
        </w:rPr>
      </w:pPr>
    </w:p>
    <w:p w:rsidR="003C6CDE" w:rsidRPr="009B672F" w:rsidRDefault="003C6CDE" w:rsidP="002C1435">
      <w:pPr>
        <w:pStyle w:val="ColorfulList-Accent11"/>
        <w:widowControl/>
        <w:numPr>
          <w:ilvl w:val="0"/>
          <w:numId w:val="3"/>
        </w:numPr>
        <w:tabs>
          <w:tab w:val="left" w:pos="0"/>
          <w:tab w:val="left" w:pos="720"/>
        </w:tabs>
        <w:autoSpaceDE/>
        <w:autoSpaceDN/>
        <w:adjustRightInd/>
        <w:ind w:left="0" w:firstLine="0"/>
        <w:jc w:val="both"/>
        <w:rPr>
          <w:sz w:val="24"/>
        </w:rPr>
      </w:pPr>
      <w:r>
        <w:rPr>
          <w:sz w:val="24"/>
        </w:rPr>
        <w:t xml:space="preserve">En el proyecto de PdT se propone el establecimiento de dos grupos de trabajo bajo la dirección del CA. Basándose en el estudio mencionado anteriormente sobre las prioridades según las especies (CMS/Sharks/MOS2/Doc.9.2) y las actividades incorporadas en el proyecto de PdT, el Grupo de trabajo sobre las especies (GTE) estaría integrado por expertos científicos que prestarán asistencia al CA en la elaboración de planes de acción específicos según las especies y planes regionales, y cumplirán su mandato (véase el doc. CMS/Sharks/MOS2/Doc.13.2) establecido en la primera reunión del Comité Asesor (AC1). El Grupo de Trabajo sobre capturas incidentales (GTCI) elaborará una estrategia para colaborar con las Organizaciones Regionales de Ordenación Pesquera (OROP) con el objetivo principal de prestar apoyo a la investigación y la formulación de recomendaciones para modificar las actuales artes de pesca y tácticas, para el establecimiento y la eficacia de las áreas marinas protegidas existentes o para elaborar nuevas tecnologías destinadas a reducir al mínimo la </w:t>
      </w:r>
      <w:r>
        <w:rPr>
          <w:sz w:val="24"/>
        </w:rPr>
        <w:lastRenderedPageBreak/>
        <w:t xml:space="preserve">captura incidental de tiburones. Determinará también las medidas prioritarias para las especies y propondrá actividades conjuntas con el convenio marino regional y las OROP pertinentes, tal como se propone en el documento CMS/Sharks/MOS2/Doc.11.2. </w:t>
      </w:r>
    </w:p>
    <w:p w:rsidR="003C6CDE" w:rsidRPr="00DF357B" w:rsidRDefault="003C6CDE" w:rsidP="002C1435">
      <w:pPr>
        <w:pStyle w:val="ColorfulList-Accent11"/>
        <w:widowControl/>
        <w:tabs>
          <w:tab w:val="left" w:pos="0"/>
          <w:tab w:val="left" w:pos="720"/>
        </w:tabs>
        <w:autoSpaceDE/>
        <w:autoSpaceDN/>
        <w:adjustRightInd/>
        <w:ind w:left="0"/>
        <w:jc w:val="both"/>
        <w:rPr>
          <w:sz w:val="24"/>
        </w:rPr>
      </w:pPr>
    </w:p>
    <w:p w:rsidR="003C6CDE" w:rsidRPr="00292300" w:rsidRDefault="003C6CDE" w:rsidP="002C1435">
      <w:pPr>
        <w:pStyle w:val="ColorfulList-Accent11"/>
        <w:widowControl/>
        <w:numPr>
          <w:ilvl w:val="0"/>
          <w:numId w:val="3"/>
        </w:numPr>
        <w:tabs>
          <w:tab w:val="left" w:pos="0"/>
          <w:tab w:val="left" w:pos="720"/>
        </w:tabs>
        <w:autoSpaceDE/>
        <w:autoSpaceDN/>
        <w:adjustRightInd/>
        <w:ind w:left="0" w:firstLine="0"/>
        <w:jc w:val="both"/>
        <w:rPr>
          <w:b/>
          <w:i/>
          <w:sz w:val="24"/>
          <w:u w:val="single"/>
        </w:rPr>
      </w:pPr>
      <w:r>
        <w:rPr>
          <w:sz w:val="24"/>
        </w:rPr>
        <w:t>El proyecto de PdT, así como las medidas prioritarias específicas según las especies serán exam</w:t>
      </w:r>
      <w:r w:rsidR="002C1435">
        <w:rPr>
          <w:sz w:val="24"/>
        </w:rPr>
        <w:t>inados y priorizados en la AC1.</w:t>
      </w:r>
      <w:r>
        <w:rPr>
          <w:sz w:val="24"/>
        </w:rPr>
        <w:t xml:space="preserve"> Las revisiones al proyecto del PdT que se recomiende estarán disponibles inmediatamente después de la AC1, en el documento CMS/Sharks/MOS2/Doc.13.2. </w:t>
      </w:r>
    </w:p>
    <w:p w:rsidR="003C6CDE" w:rsidRPr="00292300" w:rsidRDefault="003C6CDE" w:rsidP="002C1435">
      <w:pPr>
        <w:pStyle w:val="ColorfulList-Accent11"/>
        <w:widowControl/>
        <w:tabs>
          <w:tab w:val="left" w:pos="0"/>
          <w:tab w:val="left" w:pos="720"/>
        </w:tabs>
        <w:autoSpaceDE/>
        <w:autoSpaceDN/>
        <w:adjustRightInd/>
        <w:ind w:left="0"/>
        <w:jc w:val="both"/>
        <w:rPr>
          <w:b/>
          <w:i/>
          <w:sz w:val="24"/>
          <w:u w:val="single"/>
        </w:rPr>
      </w:pPr>
    </w:p>
    <w:p w:rsidR="003C6CDE" w:rsidRPr="008E2F89" w:rsidRDefault="003C6CDE" w:rsidP="002C1435">
      <w:pPr>
        <w:pStyle w:val="ColorfulList-Accent11"/>
        <w:widowControl/>
        <w:numPr>
          <w:ilvl w:val="0"/>
          <w:numId w:val="3"/>
        </w:numPr>
        <w:tabs>
          <w:tab w:val="left" w:pos="0"/>
          <w:tab w:val="left" w:pos="720"/>
        </w:tabs>
        <w:autoSpaceDE/>
        <w:autoSpaceDN/>
        <w:adjustRightInd/>
        <w:ind w:left="0" w:firstLine="0"/>
        <w:jc w:val="both"/>
        <w:rPr>
          <w:b/>
          <w:i/>
          <w:sz w:val="24"/>
          <w:u w:val="single"/>
        </w:rPr>
      </w:pPr>
      <w:r>
        <w:rPr>
          <w:sz w:val="24"/>
        </w:rPr>
        <w:t xml:space="preserve">Junto con estas recomendaciones, el presente documento deberá examinarse teniendo en cuenta los limitados recursos financieros y de personal del MdE sobre los tiburones, incluida la asignación de fondos y el proyecto de presupuesto para el próximo trienio (véase el doc. CMS/Sharks/MOS2/Doc.10.1). </w:t>
      </w:r>
    </w:p>
    <w:p w:rsidR="003C6CDE" w:rsidRPr="008E2F89" w:rsidRDefault="003C6CDE" w:rsidP="002C1435">
      <w:pPr>
        <w:pStyle w:val="ColorfulList-Accent11"/>
        <w:widowControl/>
        <w:tabs>
          <w:tab w:val="left" w:pos="0"/>
          <w:tab w:val="left" w:pos="720"/>
        </w:tabs>
        <w:autoSpaceDE/>
        <w:autoSpaceDN/>
        <w:adjustRightInd/>
        <w:ind w:left="0"/>
        <w:jc w:val="both"/>
        <w:rPr>
          <w:b/>
          <w:i/>
          <w:sz w:val="24"/>
          <w:u w:val="single"/>
        </w:rPr>
      </w:pPr>
    </w:p>
    <w:p w:rsidR="003C6CDE" w:rsidRPr="00983746" w:rsidRDefault="003C6CDE" w:rsidP="002C1435">
      <w:pPr>
        <w:pStyle w:val="ColorfulList-Accent11"/>
        <w:widowControl/>
        <w:numPr>
          <w:ilvl w:val="0"/>
          <w:numId w:val="3"/>
        </w:numPr>
        <w:tabs>
          <w:tab w:val="left" w:pos="0"/>
          <w:tab w:val="left" w:pos="720"/>
        </w:tabs>
        <w:autoSpaceDE/>
        <w:autoSpaceDN/>
        <w:adjustRightInd/>
        <w:ind w:left="0" w:firstLine="0"/>
        <w:jc w:val="both"/>
        <w:rPr>
          <w:b/>
          <w:i/>
          <w:sz w:val="24"/>
          <w:u w:val="single"/>
        </w:rPr>
      </w:pPr>
      <w:r>
        <w:rPr>
          <w:sz w:val="24"/>
        </w:rPr>
        <w:t xml:space="preserve">Se requiere una cantidad considerable de tiempo, sobre todo de los miembros de la Secretaría y del Comité Asesor, pero también de los Signatarios y los socios colaboradores para realizar satisfactoriamente las actividades. Deberá tenerse en cuenta también que la Secretaría y el CA necesitan el apoyo de consultores para realizar estudios específicos que requieren una cierta competencia. La aplicación de algunas actividades depende de la disponibilidad de fondos. Los Signatarios pueden destinar contribuciones voluntarias para la ejecución de las actividades específicas del PdT. </w:t>
      </w:r>
    </w:p>
    <w:p w:rsidR="003C6CDE" w:rsidRPr="0058661E" w:rsidRDefault="003C6CDE" w:rsidP="002C1435">
      <w:pPr>
        <w:jc w:val="both"/>
        <w:rPr>
          <w:b/>
          <w:i/>
          <w:sz w:val="24"/>
          <w:u w:val="single"/>
        </w:rPr>
      </w:pPr>
    </w:p>
    <w:p w:rsidR="003C6CDE" w:rsidRPr="0058661E" w:rsidRDefault="003C6CDE" w:rsidP="002C1435">
      <w:pPr>
        <w:jc w:val="both"/>
        <w:rPr>
          <w:b/>
          <w:i/>
          <w:sz w:val="24"/>
          <w:u w:val="single"/>
        </w:rPr>
      </w:pPr>
      <w:r>
        <w:rPr>
          <w:b/>
          <w:i/>
          <w:sz w:val="24"/>
          <w:u w:val="single"/>
        </w:rPr>
        <w:t>Acción que se solicita:</w:t>
      </w:r>
    </w:p>
    <w:p w:rsidR="003C6CDE" w:rsidRPr="0058661E" w:rsidRDefault="003C6CDE" w:rsidP="002C1435">
      <w:pPr>
        <w:jc w:val="both"/>
        <w:rPr>
          <w:b/>
          <w:i/>
          <w:sz w:val="24"/>
          <w:u w:val="single"/>
        </w:rPr>
      </w:pPr>
    </w:p>
    <w:p w:rsidR="003C6CDE" w:rsidRDefault="003C6CDE" w:rsidP="002C1435">
      <w:pPr>
        <w:jc w:val="both"/>
        <w:rPr>
          <w:sz w:val="24"/>
        </w:rPr>
      </w:pPr>
      <w:r>
        <w:rPr>
          <w:sz w:val="24"/>
        </w:rPr>
        <w:t>Se invita a la Reunión de los Signatarios a:</w:t>
      </w:r>
    </w:p>
    <w:p w:rsidR="003C6CDE" w:rsidRPr="0058661E" w:rsidRDefault="003C6CDE" w:rsidP="002C1435">
      <w:pPr>
        <w:jc w:val="both"/>
        <w:rPr>
          <w:sz w:val="24"/>
        </w:rPr>
      </w:pPr>
    </w:p>
    <w:p w:rsidR="003C6CDE" w:rsidRPr="00285305" w:rsidRDefault="003C6CDE" w:rsidP="002C1435">
      <w:pPr>
        <w:numPr>
          <w:ilvl w:val="0"/>
          <w:numId w:val="2"/>
        </w:numPr>
        <w:jc w:val="both"/>
        <w:rPr>
          <w:sz w:val="24"/>
        </w:rPr>
      </w:pPr>
      <w:r>
        <w:rPr>
          <w:sz w:val="24"/>
        </w:rPr>
        <w:t>Examinar y aprobar el proyecto de Programa de Trabajo 2016-2018, incluidas las modificaciones y recomendaciones de la AC1 (CMS/Sharks/MOS2/Doc.13.2);</w:t>
      </w:r>
    </w:p>
    <w:p w:rsidR="003C6CDE" w:rsidRPr="00C14C6E" w:rsidRDefault="003C6CDE" w:rsidP="002C1435">
      <w:pPr>
        <w:ind w:left="780"/>
        <w:jc w:val="both"/>
        <w:rPr>
          <w:sz w:val="24"/>
        </w:rPr>
      </w:pPr>
    </w:p>
    <w:p w:rsidR="003C6CDE" w:rsidRDefault="003C6CDE" w:rsidP="002C1435">
      <w:pPr>
        <w:numPr>
          <w:ilvl w:val="0"/>
          <w:numId w:val="2"/>
        </w:numPr>
        <w:jc w:val="both"/>
        <w:rPr>
          <w:sz w:val="24"/>
        </w:rPr>
      </w:pPr>
      <w:r>
        <w:rPr>
          <w:sz w:val="24"/>
        </w:rPr>
        <w:t>Examinar el posible establecimiento del Grupo de trabajo sobre las especies (GTE) así como el Grupo de trabajo sobre capturas incidentales (GTCI), bajo la dirección del Comité Asesor;</w:t>
      </w:r>
    </w:p>
    <w:p w:rsidR="003C6CDE" w:rsidRDefault="003C6CDE" w:rsidP="002C1435">
      <w:pPr>
        <w:rPr>
          <w:sz w:val="24"/>
        </w:rPr>
      </w:pPr>
    </w:p>
    <w:p w:rsidR="003C6CDE" w:rsidRDefault="003C6CDE" w:rsidP="002C1435">
      <w:pPr>
        <w:numPr>
          <w:ilvl w:val="0"/>
          <w:numId w:val="2"/>
        </w:numPr>
        <w:jc w:val="both"/>
        <w:rPr>
          <w:sz w:val="24"/>
        </w:rPr>
        <w:sectPr w:rsidR="003C6CDE" w:rsidSect="002C1435">
          <w:headerReference w:type="even" r:id="rId11"/>
          <w:headerReference w:type="default" r:id="rId12"/>
          <w:footerReference w:type="even" r:id="rId13"/>
          <w:footerReference w:type="default" r:id="rId14"/>
          <w:footerReference w:type="first" r:id="rId15"/>
          <w:endnotePr>
            <w:numFmt w:val="decimal"/>
          </w:endnotePr>
          <w:pgSz w:w="11905" w:h="16837" w:code="9"/>
          <w:pgMar w:top="1411" w:right="1411" w:bottom="1411" w:left="1411" w:header="504" w:footer="504" w:gutter="0"/>
          <w:cols w:space="720"/>
          <w:noEndnote/>
          <w:titlePg/>
          <w:docGrid w:linePitch="272"/>
        </w:sectPr>
      </w:pPr>
      <w:r>
        <w:rPr>
          <w:sz w:val="24"/>
        </w:rPr>
        <w:t>Asignar fuentes de financiación para las actividades del PdT.</w:t>
      </w:r>
    </w:p>
    <w:p w:rsidR="003C6CDE" w:rsidRDefault="003C6CDE" w:rsidP="00B45C51">
      <w:pPr>
        <w:rPr>
          <w:b/>
          <w:sz w:val="28"/>
          <w:szCs w:val="28"/>
        </w:rPr>
      </w:pPr>
    </w:p>
    <w:p w:rsidR="003C6CDE" w:rsidRPr="00E177A3" w:rsidRDefault="003C6CDE" w:rsidP="00B45C51">
      <w:pPr>
        <w:jc w:val="center"/>
        <w:rPr>
          <w:b/>
          <w:sz w:val="28"/>
          <w:szCs w:val="28"/>
        </w:rPr>
      </w:pPr>
      <w:r>
        <w:rPr>
          <w:b/>
          <w:sz w:val="28"/>
        </w:rPr>
        <w:t>PROYECTO DE PROGRAMA DE TRABAJO (2016-2018)</w:t>
      </w:r>
    </w:p>
    <w:p w:rsidR="003C6CDE" w:rsidRDefault="003C6CDE" w:rsidP="00B45C51">
      <w:pPr>
        <w:jc w:val="center"/>
        <w:rPr>
          <w:b/>
          <w:sz w:val="28"/>
          <w:szCs w:val="28"/>
        </w:rPr>
      </w:pPr>
      <w:r>
        <w:rPr>
          <w:b/>
          <w:sz w:val="28"/>
        </w:rPr>
        <w:t xml:space="preserve">PRESTAR APOYO A LA APLICACIÓN DEL MEMORANDO DE ENTENDIMIENTO DE LA CMS SOBRE LA CONSERVACIÓN DE LOS TIBURONES MIGRATORIOS </w:t>
      </w:r>
    </w:p>
    <w:p w:rsidR="003C6CDE" w:rsidRDefault="003C6CDE" w:rsidP="00B45C51">
      <w:pPr>
        <w:rPr>
          <w:b/>
          <w:sz w:val="28"/>
          <w:szCs w:val="28"/>
        </w:rPr>
      </w:pPr>
    </w:p>
    <w:p w:rsidR="00A8700A" w:rsidRDefault="00A8700A" w:rsidP="00B45C51">
      <w:pPr>
        <w:rPr>
          <w:b/>
          <w:sz w:val="28"/>
          <w:szCs w:val="28"/>
        </w:rPr>
      </w:pPr>
    </w:p>
    <w:p w:rsidR="00A8700A" w:rsidRDefault="00A8700A" w:rsidP="00B45C5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6660"/>
        <w:gridCol w:w="1260"/>
        <w:gridCol w:w="990"/>
        <w:gridCol w:w="1170"/>
        <w:gridCol w:w="1440"/>
        <w:gridCol w:w="1980"/>
      </w:tblGrid>
      <w:tr w:rsidR="003C6CDE" w:rsidRPr="00264F21" w:rsidTr="00C85074">
        <w:trPr>
          <w:cantSplit/>
          <w:trHeight w:val="706"/>
          <w:tblHeader/>
        </w:trPr>
        <w:tc>
          <w:tcPr>
            <w:tcW w:w="990" w:type="dxa"/>
            <w:shd w:val="clear" w:color="000000" w:fill="95B3D7"/>
            <w:vAlign w:val="center"/>
          </w:tcPr>
          <w:p w:rsidR="003C6CDE" w:rsidRPr="00F15F35" w:rsidRDefault="003C6CDE" w:rsidP="00C85074">
            <w:pPr>
              <w:widowControl/>
              <w:autoSpaceDE/>
              <w:autoSpaceDN/>
              <w:adjustRightInd/>
              <w:jc w:val="center"/>
              <w:rPr>
                <w:rFonts w:ascii="Calibri" w:hAnsi="Calibri"/>
                <w:b/>
                <w:bCs/>
                <w:szCs w:val="20"/>
              </w:rPr>
            </w:pPr>
            <w:r w:rsidRPr="00F15F35">
              <w:rPr>
                <w:rFonts w:ascii="Calibri" w:hAnsi="Calibri"/>
                <w:b/>
              </w:rPr>
              <w:t>N</w:t>
            </w:r>
            <w:r w:rsidRPr="00F15F35">
              <w:rPr>
                <w:rFonts w:ascii="Calibri" w:hAnsi="Calibri"/>
                <w:b/>
                <w:vertAlign w:val="superscript"/>
              </w:rPr>
              <w:t>o</w:t>
            </w:r>
            <w:r w:rsidRPr="00F15F35">
              <w:rPr>
                <w:rFonts w:ascii="Calibri" w:hAnsi="Calibri"/>
                <w:b/>
              </w:rPr>
              <w:t xml:space="preserve"> </w:t>
            </w:r>
            <w:r>
              <w:rPr>
                <w:rFonts w:ascii="Calibri" w:hAnsi="Calibri"/>
                <w:b/>
              </w:rPr>
              <w:t>de la a</w:t>
            </w:r>
            <w:r w:rsidRPr="00F15F35">
              <w:rPr>
                <w:rFonts w:ascii="Calibri" w:hAnsi="Calibri"/>
                <w:b/>
              </w:rPr>
              <w:t>ctividad</w:t>
            </w:r>
          </w:p>
        </w:tc>
        <w:tc>
          <w:tcPr>
            <w:tcW w:w="6660" w:type="dxa"/>
            <w:shd w:val="clear" w:color="000000" w:fill="95B3D7"/>
            <w:vAlign w:val="center"/>
          </w:tcPr>
          <w:p w:rsidR="003C6CDE" w:rsidRPr="00F15F35" w:rsidRDefault="003C6CDE" w:rsidP="00C85074">
            <w:pPr>
              <w:widowControl/>
              <w:autoSpaceDE/>
              <w:autoSpaceDN/>
              <w:adjustRightInd/>
              <w:jc w:val="center"/>
              <w:rPr>
                <w:rFonts w:ascii="Calibri" w:hAnsi="Calibri"/>
                <w:b/>
                <w:bCs/>
                <w:color w:val="000000"/>
                <w:szCs w:val="20"/>
              </w:rPr>
            </w:pPr>
            <w:r w:rsidRPr="00F15F35">
              <w:rPr>
                <w:rFonts w:ascii="Calibri" w:hAnsi="Calibri"/>
                <w:b/>
                <w:color w:val="000000"/>
              </w:rPr>
              <w:t>Actividades</w:t>
            </w:r>
          </w:p>
        </w:tc>
        <w:tc>
          <w:tcPr>
            <w:tcW w:w="1260" w:type="dxa"/>
            <w:shd w:val="clear" w:color="000000" w:fill="95B3D7"/>
            <w:vAlign w:val="center"/>
          </w:tcPr>
          <w:p w:rsidR="003C6CDE" w:rsidRPr="00F15F35" w:rsidRDefault="003C6CDE" w:rsidP="00C85074">
            <w:pPr>
              <w:widowControl/>
              <w:autoSpaceDE/>
              <w:autoSpaceDN/>
              <w:adjustRightInd/>
              <w:jc w:val="center"/>
              <w:rPr>
                <w:rFonts w:ascii="Calibri" w:hAnsi="Calibri"/>
                <w:b/>
                <w:bCs/>
                <w:szCs w:val="20"/>
              </w:rPr>
            </w:pPr>
          </w:p>
          <w:p w:rsidR="003C6CDE" w:rsidRPr="00F15F35" w:rsidRDefault="003C6CDE" w:rsidP="00C85074">
            <w:pPr>
              <w:widowControl/>
              <w:autoSpaceDE/>
              <w:autoSpaceDN/>
              <w:adjustRightInd/>
              <w:jc w:val="center"/>
              <w:rPr>
                <w:rFonts w:ascii="Calibri" w:hAnsi="Calibri"/>
                <w:b/>
                <w:bCs/>
                <w:szCs w:val="20"/>
              </w:rPr>
            </w:pPr>
            <w:r w:rsidRPr="00F15F35">
              <w:rPr>
                <w:rFonts w:ascii="Calibri" w:hAnsi="Calibri"/>
                <w:b/>
              </w:rPr>
              <w:t>Mandato</w:t>
            </w:r>
            <w:r w:rsidRPr="00F15F35">
              <w:rPr>
                <w:rStyle w:val="FootnoteReference"/>
                <w:rFonts w:ascii="Calibri" w:hAnsi="Calibri"/>
                <w:b/>
                <w:vertAlign w:val="superscript"/>
              </w:rPr>
              <w:footnoteReference w:id="1"/>
            </w:r>
          </w:p>
        </w:tc>
        <w:tc>
          <w:tcPr>
            <w:tcW w:w="990" w:type="dxa"/>
            <w:shd w:val="clear" w:color="000000" w:fill="95B3D7"/>
            <w:vAlign w:val="center"/>
          </w:tcPr>
          <w:p w:rsidR="003C6CDE" w:rsidRPr="00F15F35" w:rsidRDefault="003C6CDE" w:rsidP="00C85074">
            <w:pPr>
              <w:widowControl/>
              <w:autoSpaceDE/>
              <w:autoSpaceDN/>
              <w:adjustRightInd/>
              <w:jc w:val="center"/>
              <w:rPr>
                <w:rFonts w:ascii="Calibri" w:hAnsi="Calibri"/>
                <w:b/>
                <w:bCs/>
                <w:szCs w:val="20"/>
              </w:rPr>
            </w:pPr>
            <w:r>
              <w:rPr>
                <w:rFonts w:ascii="Calibri" w:hAnsi="Calibri"/>
                <w:b/>
              </w:rPr>
              <w:t>P</w:t>
            </w:r>
            <w:r w:rsidRPr="00F15F35">
              <w:rPr>
                <w:rFonts w:ascii="Calibri" w:hAnsi="Calibri"/>
                <w:b/>
              </w:rPr>
              <w:t>rioridad</w:t>
            </w:r>
            <w:r w:rsidRPr="00F15F35">
              <w:rPr>
                <w:rStyle w:val="FootnoteReference"/>
                <w:rFonts w:ascii="Calibri" w:hAnsi="Calibri"/>
                <w:b/>
                <w:vertAlign w:val="superscript"/>
              </w:rPr>
              <w:footnoteReference w:id="2"/>
            </w:r>
          </w:p>
        </w:tc>
        <w:tc>
          <w:tcPr>
            <w:tcW w:w="1170" w:type="dxa"/>
            <w:shd w:val="clear" w:color="000000" w:fill="95B3D7"/>
            <w:vAlign w:val="center"/>
          </w:tcPr>
          <w:p w:rsidR="003C6CDE" w:rsidRPr="00F15F35" w:rsidRDefault="003C6CDE" w:rsidP="00C85074">
            <w:pPr>
              <w:widowControl/>
              <w:autoSpaceDE/>
              <w:autoSpaceDN/>
              <w:adjustRightInd/>
              <w:jc w:val="center"/>
              <w:rPr>
                <w:rFonts w:ascii="Calibri" w:hAnsi="Calibri"/>
                <w:b/>
                <w:bCs/>
                <w:szCs w:val="20"/>
              </w:rPr>
            </w:pPr>
            <w:r w:rsidRPr="00F15F35">
              <w:rPr>
                <w:rFonts w:ascii="Calibri" w:hAnsi="Calibri"/>
                <w:b/>
              </w:rPr>
              <w:t xml:space="preserve">Plazo </w:t>
            </w:r>
            <w:r w:rsidRPr="00F15F35">
              <w:rPr>
                <w:rStyle w:val="FootnoteReference"/>
                <w:rFonts w:ascii="Calibri" w:hAnsi="Calibri"/>
                <w:b/>
                <w:vertAlign w:val="superscript"/>
              </w:rPr>
              <w:footnoteReference w:id="3"/>
            </w:r>
          </w:p>
        </w:tc>
        <w:tc>
          <w:tcPr>
            <w:tcW w:w="1440" w:type="dxa"/>
            <w:shd w:val="clear" w:color="000000" w:fill="95B3D7"/>
            <w:vAlign w:val="center"/>
          </w:tcPr>
          <w:p w:rsidR="003C6CDE" w:rsidRPr="00F15F35" w:rsidRDefault="003C6CDE" w:rsidP="00C85074">
            <w:pPr>
              <w:widowControl/>
              <w:autoSpaceDE/>
              <w:autoSpaceDN/>
              <w:adjustRightInd/>
              <w:jc w:val="center"/>
              <w:rPr>
                <w:rFonts w:ascii="Calibri" w:hAnsi="Calibri"/>
                <w:b/>
                <w:bCs/>
                <w:szCs w:val="20"/>
              </w:rPr>
            </w:pPr>
            <w:r w:rsidRPr="00F15F35">
              <w:rPr>
                <w:rFonts w:ascii="Calibri" w:hAnsi="Calibri"/>
                <w:b/>
              </w:rPr>
              <w:t xml:space="preserve">Órgano encargado </w:t>
            </w:r>
            <w:r w:rsidRPr="00F15F35">
              <w:rPr>
                <w:rStyle w:val="FootnoteReference"/>
                <w:rFonts w:ascii="Calibri" w:hAnsi="Calibri"/>
                <w:b/>
                <w:vertAlign w:val="superscript"/>
              </w:rPr>
              <w:footnoteReference w:id="4"/>
            </w:r>
          </w:p>
        </w:tc>
        <w:tc>
          <w:tcPr>
            <w:tcW w:w="1980" w:type="dxa"/>
            <w:shd w:val="clear" w:color="000000" w:fill="95B3D7"/>
            <w:vAlign w:val="center"/>
          </w:tcPr>
          <w:p w:rsidR="003C6CDE" w:rsidRPr="00F15F35" w:rsidRDefault="003C6CDE" w:rsidP="00C85074">
            <w:pPr>
              <w:widowControl/>
              <w:autoSpaceDE/>
              <w:autoSpaceDN/>
              <w:adjustRightInd/>
              <w:jc w:val="center"/>
              <w:rPr>
                <w:rFonts w:ascii="Calibri" w:hAnsi="Calibri"/>
                <w:b/>
                <w:bCs/>
                <w:szCs w:val="20"/>
              </w:rPr>
            </w:pPr>
          </w:p>
          <w:p w:rsidR="003C6CDE" w:rsidRPr="00F15F35" w:rsidRDefault="003C6CDE" w:rsidP="00C85074">
            <w:pPr>
              <w:widowControl/>
              <w:autoSpaceDE/>
              <w:autoSpaceDN/>
              <w:adjustRightInd/>
              <w:jc w:val="center"/>
              <w:rPr>
                <w:rFonts w:ascii="Calibri" w:hAnsi="Calibri"/>
                <w:b/>
                <w:bCs/>
                <w:szCs w:val="20"/>
              </w:rPr>
            </w:pPr>
            <w:r w:rsidRPr="00F15F35">
              <w:rPr>
                <w:rFonts w:ascii="Calibri" w:hAnsi="Calibri"/>
                <w:b/>
              </w:rPr>
              <w:t>Financiación</w:t>
            </w:r>
            <w:r w:rsidRPr="00F15F35">
              <w:rPr>
                <w:rStyle w:val="FootnoteReference"/>
                <w:rFonts w:ascii="Calibri" w:hAnsi="Calibri"/>
                <w:b/>
                <w:vertAlign w:val="superscript"/>
              </w:rPr>
              <w:footnoteReference w:id="5"/>
            </w:r>
          </w:p>
        </w:tc>
      </w:tr>
      <w:tr w:rsidR="003C6CDE" w:rsidRPr="002C68FF" w:rsidTr="00C85074">
        <w:trPr>
          <w:cantSplit/>
          <w:trHeight w:val="282"/>
        </w:trPr>
        <w:tc>
          <w:tcPr>
            <w:tcW w:w="14490" w:type="dxa"/>
            <w:gridSpan w:val="7"/>
            <w:shd w:val="clear" w:color="auto" w:fill="DEEAF6"/>
            <w:vAlign w:val="center"/>
          </w:tcPr>
          <w:p w:rsidR="003C6CDE" w:rsidRPr="00F15F35" w:rsidRDefault="003C6CDE" w:rsidP="00C85074">
            <w:pPr>
              <w:widowControl/>
              <w:autoSpaceDE/>
              <w:autoSpaceDN/>
              <w:adjustRightInd/>
              <w:jc w:val="center"/>
              <w:rPr>
                <w:rFonts w:ascii="Calibri" w:hAnsi="Calibri"/>
                <w:b/>
                <w:bCs/>
                <w:szCs w:val="20"/>
              </w:rPr>
            </w:pPr>
            <w:r w:rsidRPr="00F15F35">
              <w:rPr>
                <w:rFonts w:ascii="Calibri" w:hAnsi="Calibri"/>
                <w:b/>
              </w:rPr>
              <w:t>Conservación de las especies</w:t>
            </w:r>
          </w:p>
        </w:tc>
      </w:tr>
      <w:tr w:rsidR="003C6CDE" w:rsidRPr="00C610CF"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spacing w:after="200" w:line="276" w:lineRule="auto"/>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spacing w:after="200" w:line="276" w:lineRule="auto"/>
              <w:rPr>
                <w:rFonts w:ascii="Calibri" w:hAnsi="Calibri"/>
                <w:szCs w:val="20"/>
              </w:rPr>
            </w:pPr>
            <w:r w:rsidRPr="00F15F35">
              <w:rPr>
                <w:rFonts w:ascii="Calibri" w:hAnsi="Calibri"/>
              </w:rPr>
              <w:t xml:space="preserve">Establecer un </w:t>
            </w:r>
            <w:r w:rsidRPr="00F15F35">
              <w:rPr>
                <w:rFonts w:ascii="Calibri" w:hAnsi="Calibri"/>
                <w:b/>
              </w:rPr>
              <w:t>Grupo de trabajo sobre las especies (GTE)</w:t>
            </w:r>
            <w:r w:rsidRPr="00F15F35">
              <w:rPr>
                <w:rFonts w:ascii="Calibri" w:hAnsi="Calibri"/>
              </w:rPr>
              <w:t xml:space="preserve"> bajo la dirección del Comité Asesor</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1.1</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B26CF2" w:rsidP="00A8700A">
            <w:pPr>
              <w:widowControl/>
              <w:autoSpaceDE/>
              <w:autoSpaceDN/>
              <w:adjustRightInd/>
              <w:spacing w:line="276" w:lineRule="auto"/>
              <w:jc w:val="center"/>
              <w:rPr>
                <w:rFonts w:ascii="Calibri" w:hAnsi="Calibri"/>
                <w:szCs w:val="20"/>
              </w:rPr>
            </w:pPr>
            <w:r>
              <w:rPr>
                <w:rFonts w:ascii="Calibri" w:hAnsi="Calibri"/>
              </w:rPr>
              <w:t>H</w:t>
            </w:r>
            <w:r w:rsidR="003C6CDE" w:rsidRPr="00F15F35">
              <w:rPr>
                <w:rFonts w:ascii="Calibri" w:hAnsi="Calibri"/>
              </w:rPr>
              <w:t>ipótesis presupuestarias 1 y 2</w:t>
            </w:r>
            <w:r>
              <w:rPr>
                <w:rFonts w:ascii="Calibri" w:hAnsi="Calibri"/>
              </w:rPr>
              <w:t xml:space="preserve"> + </w:t>
            </w:r>
            <w:r w:rsidRPr="00F15F35">
              <w:rPr>
                <w:rFonts w:ascii="Calibri" w:hAnsi="Calibri"/>
              </w:rPr>
              <w:t>Es necesario recaudar fondos</w:t>
            </w:r>
          </w:p>
        </w:tc>
      </w:tr>
      <w:tr w:rsidR="003C6CDE" w:rsidRPr="00C610CF"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spacing w:after="200" w:line="276" w:lineRule="auto"/>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spacing w:after="200" w:line="276" w:lineRule="auto"/>
              <w:rPr>
                <w:rFonts w:ascii="Calibri" w:hAnsi="Calibri"/>
                <w:szCs w:val="20"/>
              </w:rPr>
            </w:pPr>
            <w:r w:rsidRPr="00F15F35">
              <w:rPr>
                <w:rFonts w:ascii="Calibri" w:hAnsi="Calibri"/>
              </w:rPr>
              <w:t>Examinar y determinar las necesidades de investigación y conservación prioritarias específicas según las especies, teniendo en cuenta las diferencias regionales.</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1.1</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Default="003C6CDE" w:rsidP="00A8700A">
            <w:pPr>
              <w:widowControl/>
              <w:autoSpaceDE/>
              <w:autoSpaceDN/>
              <w:adjustRightInd/>
              <w:spacing w:line="276" w:lineRule="auto"/>
              <w:jc w:val="center"/>
              <w:rPr>
                <w:rFonts w:ascii="Calibri" w:hAnsi="Calibri"/>
              </w:rPr>
            </w:pPr>
            <w:r w:rsidRPr="00F15F35">
              <w:rPr>
                <w:rFonts w:ascii="Calibri" w:hAnsi="Calibri"/>
              </w:rPr>
              <w:t>GTE</w:t>
            </w:r>
          </w:p>
          <w:p w:rsidR="00B26CF2" w:rsidRPr="00F15F35" w:rsidRDefault="00B26CF2"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Consultor</w:t>
            </w:r>
          </w:p>
        </w:tc>
        <w:tc>
          <w:tcPr>
            <w:tcW w:w="1980" w:type="dxa"/>
            <w:vAlign w:val="center"/>
          </w:tcPr>
          <w:p w:rsidR="003C6CDE" w:rsidRPr="00F15F35" w:rsidRDefault="00B26CF2" w:rsidP="00A8700A">
            <w:pPr>
              <w:widowControl/>
              <w:autoSpaceDE/>
              <w:autoSpaceDN/>
              <w:adjustRightInd/>
              <w:spacing w:line="276" w:lineRule="auto"/>
              <w:jc w:val="center"/>
              <w:rPr>
                <w:rFonts w:ascii="Calibri" w:hAnsi="Calibri"/>
                <w:szCs w:val="20"/>
              </w:rPr>
            </w:pPr>
            <w:r>
              <w:rPr>
                <w:rFonts w:ascii="Calibri" w:hAnsi="Calibri"/>
              </w:rPr>
              <w:t>H</w:t>
            </w:r>
            <w:r w:rsidRPr="00F15F35">
              <w:rPr>
                <w:rFonts w:ascii="Calibri" w:hAnsi="Calibri"/>
              </w:rPr>
              <w:t>ipótesis presupuestarias 1 y 2</w:t>
            </w:r>
            <w:r>
              <w:rPr>
                <w:rFonts w:ascii="Calibri" w:hAnsi="Calibri"/>
              </w:rPr>
              <w:t xml:space="preserve"> + </w:t>
            </w:r>
            <w:r w:rsidRPr="00F15F35">
              <w:rPr>
                <w:rFonts w:ascii="Calibri" w:hAnsi="Calibri"/>
              </w:rPr>
              <w:t>Es necesario recaudar fondos</w:t>
            </w:r>
          </w:p>
        </w:tc>
      </w:tr>
      <w:tr w:rsidR="003C6CDE" w:rsidRPr="00C610CF"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spacing w:after="200" w:line="276" w:lineRule="auto"/>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spacing w:after="200" w:line="276" w:lineRule="auto"/>
              <w:rPr>
                <w:rFonts w:ascii="Calibri" w:hAnsi="Calibri"/>
                <w:szCs w:val="20"/>
              </w:rPr>
            </w:pPr>
            <w:r w:rsidRPr="00F15F35">
              <w:rPr>
                <w:rFonts w:ascii="Calibri" w:hAnsi="Calibri"/>
              </w:rPr>
              <w:t>Examinar la nueva información sobre los efectos perjudiciales en los tiburones, las mejores prácticas y las directrices. Formular recomendaciones a los Signatarios y otras autoridades pertinentes para la acción futura.</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1.6</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color w:val="000000"/>
              </w:rPr>
              <w:t>Media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Default="003C6CDE" w:rsidP="00A8700A">
            <w:pPr>
              <w:widowControl/>
              <w:autoSpaceDE/>
              <w:autoSpaceDN/>
              <w:adjustRightInd/>
              <w:spacing w:line="276" w:lineRule="auto"/>
              <w:jc w:val="center"/>
              <w:rPr>
                <w:rFonts w:ascii="Calibri" w:hAnsi="Calibri"/>
              </w:rPr>
            </w:pPr>
            <w:r w:rsidRPr="00F15F35">
              <w:rPr>
                <w:rFonts w:ascii="Calibri" w:hAnsi="Calibri"/>
              </w:rPr>
              <w:t>GTE</w:t>
            </w:r>
          </w:p>
          <w:p w:rsidR="00B26CF2" w:rsidRPr="00F15F35" w:rsidRDefault="00B26CF2"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Consultor</w:t>
            </w:r>
          </w:p>
        </w:tc>
        <w:tc>
          <w:tcPr>
            <w:tcW w:w="1980" w:type="dxa"/>
            <w:vAlign w:val="center"/>
          </w:tcPr>
          <w:p w:rsidR="003C6CDE" w:rsidRPr="00F15F35" w:rsidRDefault="00B26CF2" w:rsidP="00A8700A">
            <w:pPr>
              <w:widowControl/>
              <w:autoSpaceDE/>
              <w:autoSpaceDN/>
              <w:adjustRightInd/>
              <w:spacing w:line="276" w:lineRule="auto"/>
              <w:jc w:val="center"/>
              <w:rPr>
                <w:rFonts w:ascii="Calibri" w:hAnsi="Calibri"/>
                <w:szCs w:val="20"/>
              </w:rPr>
            </w:pPr>
            <w:r>
              <w:rPr>
                <w:rFonts w:ascii="Calibri" w:hAnsi="Calibri"/>
              </w:rPr>
              <w:t>H</w:t>
            </w:r>
            <w:r w:rsidRPr="00F15F35">
              <w:rPr>
                <w:rFonts w:ascii="Calibri" w:hAnsi="Calibri"/>
              </w:rPr>
              <w:t>ipótesis presupuestarias 1 y 2</w:t>
            </w:r>
            <w:r>
              <w:rPr>
                <w:rFonts w:ascii="Calibri" w:hAnsi="Calibri"/>
              </w:rPr>
              <w:t xml:space="preserve"> + </w:t>
            </w:r>
            <w:r w:rsidRPr="00F15F35">
              <w:rPr>
                <w:rFonts w:ascii="Calibri" w:hAnsi="Calibri"/>
              </w:rPr>
              <w:t>Es necesario recaudar fondos</w:t>
            </w:r>
          </w:p>
        </w:tc>
      </w:tr>
      <w:tr w:rsidR="003C6CDE" w:rsidRPr="00C610CF"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spacing w:after="200" w:line="276" w:lineRule="auto"/>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spacing w:after="200" w:line="276" w:lineRule="auto"/>
              <w:rPr>
                <w:rFonts w:ascii="Calibri" w:hAnsi="Calibri"/>
                <w:szCs w:val="20"/>
              </w:rPr>
            </w:pPr>
            <w:r w:rsidRPr="00F15F35">
              <w:rPr>
                <w:rFonts w:ascii="Calibri" w:hAnsi="Calibri"/>
              </w:rPr>
              <w:t xml:space="preserve">Convocar un </w:t>
            </w:r>
            <w:r w:rsidRPr="00F15F35">
              <w:rPr>
                <w:rFonts w:ascii="Calibri" w:hAnsi="Calibri"/>
                <w:b/>
              </w:rPr>
              <w:t>taller del GTE</w:t>
            </w:r>
            <w:r w:rsidRPr="00F15F35">
              <w:rPr>
                <w:rFonts w:ascii="Calibri" w:hAnsi="Calibri"/>
              </w:rPr>
              <w:t xml:space="preserve"> para elaborar </w:t>
            </w:r>
            <w:r w:rsidRPr="00F15F35">
              <w:rPr>
                <w:rFonts w:ascii="Calibri" w:hAnsi="Calibri"/>
                <w:b/>
              </w:rPr>
              <w:t>planes de acción específicos según las especies</w:t>
            </w:r>
            <w:r w:rsidRPr="00F15F35">
              <w:rPr>
                <w:rFonts w:ascii="Calibri" w:hAnsi="Calibri"/>
              </w:rPr>
              <w:t>:</w:t>
            </w:r>
          </w:p>
          <w:p w:rsidR="003C6CDE" w:rsidRPr="00F15F35" w:rsidRDefault="003C6CDE" w:rsidP="00C85074">
            <w:pPr>
              <w:pStyle w:val="ListParagraph"/>
              <w:widowControl/>
              <w:numPr>
                <w:ilvl w:val="0"/>
                <w:numId w:val="14"/>
              </w:numPr>
              <w:autoSpaceDE/>
              <w:autoSpaceDN/>
              <w:adjustRightInd/>
              <w:spacing w:after="200" w:line="276" w:lineRule="auto"/>
              <w:rPr>
                <w:rFonts w:ascii="Calibri" w:hAnsi="Calibri"/>
                <w:szCs w:val="20"/>
              </w:rPr>
            </w:pPr>
            <w:r w:rsidRPr="00F15F35">
              <w:rPr>
                <w:rFonts w:ascii="Calibri" w:hAnsi="Calibri"/>
              </w:rPr>
              <w:t>Compilar, examinar e incorporar estrategias de conservación ya existentes en los planes de acción (p. ej., la Estrategia de conservación del pez sierra del Grupo de Especialistas en Tiburones (GET) de la UICN y la Estrategia de conservación de mantas y rayas)</w:t>
            </w:r>
          </w:p>
          <w:p w:rsidR="003C6CDE" w:rsidRPr="00F15F35" w:rsidRDefault="003C6CDE" w:rsidP="00C85074">
            <w:pPr>
              <w:pStyle w:val="ListParagraph"/>
              <w:widowControl/>
              <w:numPr>
                <w:ilvl w:val="0"/>
                <w:numId w:val="14"/>
              </w:numPr>
              <w:autoSpaceDE/>
              <w:autoSpaceDN/>
              <w:adjustRightInd/>
              <w:spacing w:after="200" w:line="276" w:lineRule="auto"/>
              <w:rPr>
                <w:rFonts w:ascii="Calibri" w:hAnsi="Calibri"/>
                <w:szCs w:val="20"/>
              </w:rPr>
            </w:pPr>
            <w:r w:rsidRPr="00F15F35">
              <w:rPr>
                <w:rFonts w:ascii="Calibri" w:hAnsi="Calibri"/>
              </w:rPr>
              <w:t>Véase el doc. CMS/Sharks/MOS2/Doc.9.2</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1.1</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1.7</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2017</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GTE</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Consultor</w:t>
            </w:r>
          </w:p>
        </w:tc>
        <w:tc>
          <w:tcPr>
            <w:tcW w:w="1980" w:type="dxa"/>
            <w:vAlign w:val="center"/>
          </w:tcPr>
          <w:p w:rsidR="003C6CDE" w:rsidRPr="00F15F35" w:rsidRDefault="00B26CF2" w:rsidP="00A8700A">
            <w:pPr>
              <w:widowControl/>
              <w:autoSpaceDE/>
              <w:autoSpaceDN/>
              <w:adjustRightInd/>
              <w:spacing w:line="276" w:lineRule="auto"/>
              <w:jc w:val="center"/>
              <w:rPr>
                <w:rFonts w:ascii="Calibri" w:hAnsi="Calibri"/>
                <w:szCs w:val="20"/>
              </w:rPr>
            </w:pPr>
            <w:r>
              <w:rPr>
                <w:rFonts w:ascii="Calibri" w:hAnsi="Calibri"/>
              </w:rPr>
              <w:t>H</w:t>
            </w:r>
            <w:r w:rsidR="003C6CDE" w:rsidRPr="00F15F35">
              <w:rPr>
                <w:rFonts w:ascii="Calibri" w:hAnsi="Calibri"/>
              </w:rPr>
              <w:t>ipótesis presupuestaria 1</w:t>
            </w:r>
            <w:r>
              <w:rPr>
                <w:rFonts w:ascii="Calibri" w:hAnsi="Calibri"/>
              </w:rPr>
              <w:t xml:space="preserve"> + e</w:t>
            </w:r>
            <w:r w:rsidRPr="00F15F35">
              <w:rPr>
                <w:rFonts w:ascii="Calibri" w:hAnsi="Calibri"/>
              </w:rPr>
              <w:t>s necesario recaudar fondos</w:t>
            </w:r>
          </w:p>
        </w:tc>
      </w:tr>
      <w:tr w:rsidR="003C6CDE" w:rsidRPr="00C610CF"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spacing w:after="200" w:line="276" w:lineRule="auto"/>
              <w:jc w:val="center"/>
              <w:rPr>
                <w:rFonts w:ascii="Calibri" w:hAnsi="Calibri"/>
                <w:szCs w:val="20"/>
              </w:rPr>
            </w:pPr>
          </w:p>
        </w:tc>
        <w:tc>
          <w:tcPr>
            <w:tcW w:w="6660" w:type="dxa"/>
            <w:shd w:val="clear" w:color="000000" w:fill="FFFFFF"/>
            <w:vAlign w:val="center"/>
          </w:tcPr>
          <w:p w:rsidR="003C6CDE" w:rsidRPr="00F15F35" w:rsidRDefault="00337FE0" w:rsidP="00C85074">
            <w:pPr>
              <w:widowControl/>
              <w:autoSpaceDE/>
              <w:autoSpaceDN/>
              <w:adjustRightInd/>
              <w:spacing w:after="200" w:line="276" w:lineRule="auto"/>
              <w:rPr>
                <w:rFonts w:ascii="Calibri" w:hAnsi="Calibri"/>
                <w:szCs w:val="20"/>
              </w:rPr>
            </w:pPr>
            <w:r w:rsidRPr="00F15F35">
              <w:rPr>
                <w:rFonts w:ascii="Calibri" w:hAnsi="Calibri"/>
              </w:rPr>
              <w:t>Formular recomendaciones al CA y preparar informes sobre las actividades para presentarlas a las reuniones del CA</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Mandato GTE</w:t>
            </w:r>
          </w:p>
        </w:tc>
        <w:tc>
          <w:tcPr>
            <w:tcW w:w="990" w:type="dxa"/>
            <w:tcMar>
              <w:top w:w="57" w:type="dxa"/>
              <w:left w:w="57" w:type="dxa"/>
              <w:bottom w:w="57" w:type="dxa"/>
              <w:right w:w="57" w:type="dxa"/>
            </w:tcMar>
            <w:vAlign w:val="center"/>
          </w:tcPr>
          <w:p w:rsidR="003C6CDE" w:rsidRPr="00F15F35" w:rsidRDefault="00B26CF2" w:rsidP="00A8700A">
            <w:pPr>
              <w:widowControl/>
              <w:autoSpaceDE/>
              <w:autoSpaceDN/>
              <w:adjustRightInd/>
              <w:jc w:val="center"/>
              <w:rPr>
                <w:rFonts w:ascii="Calibri" w:hAnsi="Calibri"/>
                <w:szCs w:val="20"/>
              </w:rPr>
            </w:pPr>
            <w:r>
              <w:rPr>
                <w:rFonts w:ascii="Calibri" w:hAnsi="Calibri"/>
                <w:szCs w:val="20"/>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Según sea necesario</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GTE</w:t>
            </w:r>
          </w:p>
          <w:p w:rsidR="003C6CDE" w:rsidRPr="00F15F35" w:rsidRDefault="003C6CDE" w:rsidP="00A8700A">
            <w:pPr>
              <w:widowControl/>
              <w:autoSpaceDE/>
              <w:autoSpaceDN/>
              <w:adjustRightInd/>
              <w:spacing w:line="276" w:lineRule="auto"/>
              <w:jc w:val="center"/>
              <w:rPr>
                <w:rFonts w:ascii="Calibri" w:hAnsi="Calibri"/>
                <w:szCs w:val="20"/>
              </w:rPr>
            </w:pPr>
          </w:p>
        </w:tc>
        <w:tc>
          <w:tcPr>
            <w:tcW w:w="1980" w:type="dxa"/>
            <w:vAlign w:val="center"/>
          </w:tcPr>
          <w:p w:rsidR="003C6CDE" w:rsidRPr="00F15F35" w:rsidRDefault="00B26CF2" w:rsidP="00A8700A">
            <w:pPr>
              <w:widowControl/>
              <w:autoSpaceDE/>
              <w:autoSpaceDN/>
              <w:adjustRightInd/>
              <w:spacing w:line="276" w:lineRule="auto"/>
              <w:jc w:val="center"/>
              <w:rPr>
                <w:rFonts w:ascii="Calibri" w:hAnsi="Calibri"/>
                <w:szCs w:val="20"/>
              </w:rPr>
            </w:pPr>
            <w:r>
              <w:rPr>
                <w:rFonts w:ascii="Calibri" w:hAnsi="Calibri"/>
              </w:rPr>
              <w:t>H</w:t>
            </w:r>
            <w:r w:rsidR="003C6CDE" w:rsidRPr="00F15F35">
              <w:rPr>
                <w:rFonts w:ascii="Calibri" w:hAnsi="Calibri"/>
              </w:rPr>
              <w:t>ipótesis presupuestarias 1 y 2</w:t>
            </w:r>
          </w:p>
        </w:tc>
      </w:tr>
      <w:tr w:rsidR="003C6CDE" w:rsidRPr="001C5E47"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Facilitar la comunicación y prestar apoyo a los Signatarios en la determinación de proyectos de investigación regionales y locales</w:t>
            </w:r>
          </w:p>
          <w:p w:rsidR="003C6CDE" w:rsidRPr="00F15F35" w:rsidRDefault="003C6CDE" w:rsidP="00C85074">
            <w:pPr>
              <w:pStyle w:val="ListParagraph"/>
              <w:widowControl/>
              <w:numPr>
                <w:ilvl w:val="0"/>
                <w:numId w:val="7"/>
              </w:numPr>
              <w:autoSpaceDE/>
              <w:autoSpaceDN/>
              <w:adjustRightInd/>
              <w:rPr>
                <w:rFonts w:ascii="Calibri" w:hAnsi="Calibri"/>
                <w:szCs w:val="20"/>
              </w:rPr>
            </w:pPr>
            <w:r w:rsidRPr="00F15F35">
              <w:rPr>
                <w:rFonts w:ascii="Calibri" w:hAnsi="Calibri"/>
              </w:rPr>
              <w:t>Consultar regularmente con los Puntos Focales</w:t>
            </w:r>
          </w:p>
          <w:p w:rsidR="003C6CDE" w:rsidRPr="00F15F35" w:rsidRDefault="003C6CDE" w:rsidP="00C85074">
            <w:pPr>
              <w:pStyle w:val="ListParagraph"/>
              <w:widowControl/>
              <w:numPr>
                <w:ilvl w:val="0"/>
                <w:numId w:val="7"/>
              </w:numPr>
              <w:autoSpaceDE/>
              <w:autoSpaceDN/>
              <w:adjustRightInd/>
              <w:rPr>
                <w:rFonts w:ascii="Calibri" w:hAnsi="Calibri"/>
                <w:szCs w:val="20"/>
              </w:rPr>
            </w:pPr>
            <w:r w:rsidRPr="00F15F35">
              <w:rPr>
                <w:rFonts w:ascii="Calibri" w:hAnsi="Calibri"/>
              </w:rPr>
              <w:t>Sobre la base de los resultados de los planes de acción específicos según las especies (</w:t>
            </w:r>
            <w:r w:rsidRPr="00F15F35">
              <w:rPr>
                <w:rFonts w:ascii="Calibri" w:hAnsi="Calibri"/>
                <w:i/>
              </w:rPr>
              <w:t>Actividad 1</w:t>
            </w:r>
            <w:r w:rsidRPr="00F15F35">
              <w:rPr>
                <w:rFonts w:ascii="Calibri" w:hAnsi="Calibri"/>
              </w:rPr>
              <w:t>), comunicar a los puntos focales las actividades pertinentes que han de realizarse en su región</w:t>
            </w:r>
          </w:p>
          <w:p w:rsidR="003C6CDE" w:rsidRPr="00F15F35" w:rsidRDefault="003C6CDE" w:rsidP="00C85074">
            <w:pPr>
              <w:pStyle w:val="ListParagraph"/>
              <w:widowControl/>
              <w:numPr>
                <w:ilvl w:val="0"/>
                <w:numId w:val="7"/>
              </w:numPr>
              <w:autoSpaceDE/>
              <w:autoSpaceDN/>
              <w:adjustRightInd/>
              <w:rPr>
                <w:rFonts w:ascii="Calibri" w:hAnsi="Calibri"/>
                <w:szCs w:val="20"/>
              </w:rPr>
            </w:pPr>
            <w:r w:rsidRPr="00F15F35">
              <w:rPr>
                <w:rFonts w:ascii="Calibri" w:hAnsi="Calibri"/>
              </w:rPr>
              <w:t xml:space="preserve">Buscar oportunidades de financiación (véase la actividad </w:t>
            </w:r>
            <w:r w:rsidR="00B26CF2">
              <w:rPr>
                <w:rFonts w:ascii="Calibri" w:hAnsi="Calibri"/>
              </w:rPr>
              <w:t>70</w:t>
            </w:r>
            <w:r w:rsidRPr="00F15F35">
              <w:rPr>
                <w:rFonts w:ascii="Calibri" w:hAnsi="Calibri"/>
              </w:rPr>
              <w:t>)</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1.2</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p>
        </w:tc>
        <w:tc>
          <w:tcPr>
            <w:tcW w:w="1980" w:type="dxa"/>
            <w:vAlign w:val="center"/>
          </w:tcPr>
          <w:p w:rsidR="003C6CDE" w:rsidRPr="00F15F35" w:rsidRDefault="00B26CF2"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Cuando se le indique</w:t>
            </w:r>
            <w:r w:rsidR="00B26CF2">
              <w:rPr>
                <w:rFonts w:ascii="Calibri" w:hAnsi="Calibri"/>
              </w:rPr>
              <w:t xml:space="preserve"> por los Signatarios</w:t>
            </w:r>
            <w:r w:rsidRPr="00F15F35">
              <w:rPr>
                <w:rFonts w:ascii="Calibri" w:hAnsi="Calibri"/>
              </w:rPr>
              <w:t>, determinar o elaborar proyectos</w:t>
            </w:r>
            <w:r w:rsidR="00B26CF2">
              <w:rPr>
                <w:rFonts w:ascii="Calibri" w:hAnsi="Calibri"/>
              </w:rPr>
              <w:t xml:space="preserve"> de </w:t>
            </w:r>
            <w:r w:rsidR="00337FE0">
              <w:rPr>
                <w:rFonts w:ascii="Calibri" w:hAnsi="Calibri"/>
              </w:rPr>
              <w:t>conservación</w:t>
            </w:r>
            <w:r w:rsidRPr="00F15F35">
              <w:rPr>
                <w:rFonts w:ascii="Calibri" w:hAnsi="Calibri"/>
              </w:rPr>
              <w:t xml:space="preserve"> adecuados </w:t>
            </w:r>
            <w:r w:rsidR="00B26CF2">
              <w:rPr>
                <w:rFonts w:ascii="Calibri" w:hAnsi="Calibri"/>
              </w:rPr>
              <w:t>socios colaboradores para la implementación y manejar y</w:t>
            </w:r>
            <w:r w:rsidRPr="00F15F35">
              <w:rPr>
                <w:rFonts w:ascii="Calibri" w:hAnsi="Calibri"/>
              </w:rPr>
              <w:t xml:space="preserve"> </w:t>
            </w:r>
            <w:r w:rsidR="00B26CF2">
              <w:rPr>
                <w:rFonts w:ascii="Calibri" w:hAnsi="Calibri"/>
              </w:rPr>
              <w:t>gestionar fondos</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1.2</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1.3</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color w:val="538135"/>
                <w:szCs w:val="20"/>
              </w:rPr>
            </w:pPr>
            <w:r w:rsidRPr="00F15F35">
              <w:rPr>
                <w:rFonts w:ascii="Calibri" w:hAnsi="Calibri"/>
              </w:rPr>
              <w:t>Es necesario recaudar fondos</w:t>
            </w:r>
          </w:p>
        </w:tc>
      </w:tr>
      <w:tr w:rsidR="003C6CDE" w:rsidRPr="00EA106E" w:rsidTr="00C85074">
        <w:trPr>
          <w:cantSplit/>
          <w:trHeight w:val="424"/>
        </w:trPr>
        <w:tc>
          <w:tcPr>
            <w:tcW w:w="14490" w:type="dxa"/>
            <w:gridSpan w:val="7"/>
            <w:shd w:val="clear" w:color="auto" w:fill="DEEAF6"/>
            <w:vAlign w:val="center"/>
          </w:tcPr>
          <w:p w:rsidR="003C6CDE" w:rsidRPr="00F15F35" w:rsidRDefault="003C6CDE" w:rsidP="00C85074">
            <w:pPr>
              <w:widowControl/>
              <w:autoSpaceDE/>
              <w:autoSpaceDN/>
              <w:adjustRightInd/>
              <w:spacing w:line="276" w:lineRule="auto"/>
              <w:jc w:val="center"/>
              <w:rPr>
                <w:rFonts w:ascii="Calibri" w:hAnsi="Calibri"/>
                <w:szCs w:val="20"/>
              </w:rPr>
            </w:pPr>
            <w:r w:rsidRPr="00F15F35">
              <w:rPr>
                <w:rFonts w:ascii="Calibri" w:hAnsi="Calibri"/>
                <w:b/>
              </w:rPr>
              <w:t>Pesca incidental</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 xml:space="preserve">Establecer un </w:t>
            </w:r>
            <w:r w:rsidRPr="00F15F35">
              <w:rPr>
                <w:rFonts w:ascii="Calibri" w:hAnsi="Calibri"/>
                <w:b/>
              </w:rPr>
              <w:t xml:space="preserve">Grupo de trabajo sobre capturas </w:t>
            </w:r>
            <w:r w:rsidRPr="000C5495">
              <w:rPr>
                <w:rFonts w:ascii="Calibri" w:hAnsi="Calibri"/>
                <w:b/>
              </w:rPr>
              <w:t>incidentales (GTCI)</w:t>
            </w:r>
            <w:r w:rsidRPr="00F15F35">
              <w:rPr>
                <w:rFonts w:ascii="Calibri" w:hAnsi="Calibri"/>
              </w:rPr>
              <w:t xml:space="preserve"> bajo la dirección del Comité Asesor</w:t>
            </w:r>
          </w:p>
          <w:p w:rsidR="003C6CDE" w:rsidRPr="00F15F35" w:rsidRDefault="003C6CDE" w:rsidP="00C85074">
            <w:pPr>
              <w:widowControl/>
              <w:tabs>
                <w:tab w:val="center" w:pos="2733"/>
              </w:tabs>
              <w:autoSpaceDE/>
              <w:autoSpaceDN/>
              <w:adjustRightInd/>
              <w:rPr>
                <w:rFonts w:ascii="Calibri" w:hAnsi="Calibri"/>
                <w:b/>
                <w:szCs w:val="20"/>
              </w:rPr>
            </w:pP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1.6</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5.2</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6.3</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color w:val="538135"/>
                <w:szCs w:val="20"/>
              </w:rPr>
            </w:pPr>
            <w:r>
              <w:rPr>
                <w:rFonts w:ascii="Calibri" w:hAnsi="Calibri"/>
              </w:rPr>
              <w:t>H</w:t>
            </w:r>
            <w:r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 xml:space="preserve">Convocar un </w:t>
            </w:r>
            <w:r w:rsidRPr="000C5495">
              <w:rPr>
                <w:rFonts w:ascii="Calibri" w:hAnsi="Calibri"/>
                <w:b/>
              </w:rPr>
              <w:t>taller del GTCI</w:t>
            </w:r>
            <w:r w:rsidRPr="00F15F35">
              <w:rPr>
                <w:rFonts w:ascii="Calibri" w:hAnsi="Calibri"/>
              </w:rPr>
              <w:t xml:space="preserve"> para elaborar una Estrategia de compromiso de la Organización Regional de Ordenación Pesquera (OROP), incluida la elaboración de actividades conjuntas (véase el doc. CMS/Sharks/MOS2/Doc.11.2)</w:t>
            </w:r>
          </w:p>
        </w:tc>
        <w:tc>
          <w:tcPr>
            <w:tcW w:w="1260" w:type="dxa"/>
            <w:vAlign w:val="center"/>
          </w:tcPr>
          <w:p w:rsidR="003C6CDE" w:rsidRDefault="00337FE0" w:rsidP="00A8700A">
            <w:pPr>
              <w:widowControl/>
              <w:autoSpaceDE/>
              <w:autoSpaceDN/>
              <w:adjustRightInd/>
              <w:jc w:val="center"/>
              <w:rPr>
                <w:rFonts w:ascii="Calibri" w:hAnsi="Calibri"/>
                <w:szCs w:val="20"/>
              </w:rPr>
            </w:pPr>
            <w:r>
              <w:rPr>
                <w:rFonts w:ascii="Calibri" w:hAnsi="Calibri"/>
                <w:szCs w:val="20"/>
              </w:rPr>
              <w:t>CP III</w:t>
            </w:r>
          </w:p>
          <w:p w:rsidR="00337FE0" w:rsidRPr="00F15F35" w:rsidRDefault="00337FE0" w:rsidP="00A8700A">
            <w:pPr>
              <w:widowControl/>
              <w:autoSpaceDE/>
              <w:autoSpaceDN/>
              <w:adjustRightInd/>
              <w:jc w:val="center"/>
              <w:rPr>
                <w:rFonts w:ascii="Calibri" w:hAnsi="Calibri"/>
                <w:szCs w:val="20"/>
              </w:rPr>
            </w:pPr>
            <w:r>
              <w:rPr>
                <w:rFonts w:ascii="Calibri" w:hAnsi="Calibri"/>
                <w:szCs w:val="20"/>
              </w:rPr>
              <w:t>CP 15.1</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2017</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Pr>
                <w:rFonts w:ascii="Calibri" w:hAnsi="Calibri"/>
              </w:rPr>
              <w:t>GTCI</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Consultor</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 1</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Examinar la nueva información sobre la captura incidental de tiburones y los estudios de mortalidad posterior a la liberación para evaluar la eficiencia de la gestión</w:t>
            </w:r>
          </w:p>
          <w:p w:rsidR="003C6CDE" w:rsidRPr="00F15F35" w:rsidRDefault="003C6CDE" w:rsidP="00C85074">
            <w:pPr>
              <w:pStyle w:val="ListParagraph"/>
              <w:widowControl/>
              <w:numPr>
                <w:ilvl w:val="0"/>
                <w:numId w:val="6"/>
              </w:numPr>
              <w:autoSpaceDE/>
              <w:autoSpaceDN/>
              <w:adjustRightInd/>
              <w:rPr>
                <w:rFonts w:ascii="Calibri" w:hAnsi="Calibri"/>
                <w:szCs w:val="20"/>
              </w:rPr>
            </w:pPr>
            <w:r w:rsidRPr="00F15F35">
              <w:rPr>
                <w:rFonts w:ascii="Calibri" w:hAnsi="Calibri"/>
              </w:rPr>
              <w:t>Formular recomendaciones a los Signatarios y otras autoridades pertinentes para la acción futura.</w:t>
            </w:r>
          </w:p>
          <w:p w:rsidR="003C6CDE" w:rsidRPr="00A8700A" w:rsidRDefault="003C6CDE" w:rsidP="00C85074">
            <w:pPr>
              <w:pStyle w:val="ListParagraph"/>
              <w:widowControl/>
              <w:numPr>
                <w:ilvl w:val="0"/>
                <w:numId w:val="6"/>
              </w:numPr>
              <w:autoSpaceDE/>
              <w:autoSpaceDN/>
              <w:adjustRightInd/>
              <w:rPr>
                <w:rFonts w:ascii="Calibri" w:hAnsi="Calibri"/>
                <w:szCs w:val="20"/>
              </w:rPr>
            </w:pPr>
            <w:r w:rsidRPr="00F15F35">
              <w:rPr>
                <w:rFonts w:ascii="Calibri" w:hAnsi="Calibri"/>
              </w:rPr>
              <w:t xml:space="preserve">Buscar oportunidades para financiar y apoyar los estudios continuos </w:t>
            </w:r>
            <w:r>
              <w:rPr>
                <w:rFonts w:ascii="Calibri" w:hAnsi="Calibri"/>
              </w:rPr>
              <w:t>destinados a</w:t>
            </w:r>
            <w:r w:rsidRPr="00F15F35">
              <w:rPr>
                <w:rFonts w:ascii="Calibri" w:hAnsi="Calibri"/>
              </w:rPr>
              <w:t xml:space="preserve"> determinar la mortalidad posterior a la liberación de los tiburones objeto de explotación comercial a nivel regional y mejorar la recopilación de datos</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1.6</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4.5</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5.2</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6.3</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Media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Pr>
                <w:rFonts w:ascii="Calibri" w:hAnsi="Calibri"/>
              </w:rPr>
              <w:t>GTCI</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color w:val="538135"/>
                <w:szCs w:val="20"/>
              </w:rPr>
            </w:pPr>
            <w:r>
              <w:rPr>
                <w:rFonts w:ascii="Calibri" w:hAnsi="Calibri"/>
              </w:rPr>
              <w:t>H</w:t>
            </w:r>
            <w:r w:rsidRPr="00F15F35">
              <w:rPr>
                <w:rFonts w:ascii="Calibri" w:hAnsi="Calibri"/>
              </w:rPr>
              <w:t>ipótesis presupuestaria 1</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 xml:space="preserve">Coordinar con los especialistas de pesca, las OROP y las partes interesadas pertinentes la elaboración y adopción de un protocolo estándar para la recopilación y el seguimiento de los datos de pesca, con el objetivo general de mejorar la información específica según las especies </w:t>
            </w:r>
            <w:r>
              <w:rPr>
                <w:rFonts w:ascii="Calibri" w:hAnsi="Calibri"/>
              </w:rPr>
              <w:t>relativas a</w:t>
            </w:r>
            <w:r w:rsidRPr="00F15F35">
              <w:rPr>
                <w:rFonts w:ascii="Calibri" w:hAnsi="Calibri"/>
              </w:rPr>
              <w:t xml:space="preserve"> las capturas y </w:t>
            </w:r>
            <w:r>
              <w:rPr>
                <w:rFonts w:ascii="Calibri" w:hAnsi="Calibri"/>
              </w:rPr>
              <w:t xml:space="preserve">los </w:t>
            </w:r>
            <w:r w:rsidRPr="00F15F35">
              <w:rPr>
                <w:rFonts w:ascii="Calibri" w:hAnsi="Calibri"/>
              </w:rPr>
              <w:t>desembarques y la validación de los datos para el análisis a corto y largo plazo.</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2.2</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3.2</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2017-2018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Pr>
                <w:rFonts w:ascii="Calibri" w:hAnsi="Calibri"/>
              </w:rPr>
              <w:t>GTCI</w:t>
            </w:r>
          </w:p>
        </w:tc>
        <w:tc>
          <w:tcPr>
            <w:tcW w:w="1980" w:type="dxa"/>
            <w:vAlign w:val="center"/>
          </w:tcPr>
          <w:p w:rsidR="003C6CDE" w:rsidRPr="00337FE0" w:rsidRDefault="00337FE0" w:rsidP="00A8700A">
            <w:pPr>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A8700A" w:rsidRDefault="003C6CDE" w:rsidP="00C85074">
            <w:pPr>
              <w:widowControl/>
              <w:autoSpaceDE/>
              <w:autoSpaceDN/>
              <w:adjustRightInd/>
              <w:rPr>
                <w:rFonts w:ascii="Calibri" w:hAnsi="Calibri"/>
                <w:b/>
                <w:szCs w:val="20"/>
              </w:rPr>
            </w:pPr>
            <w:r w:rsidRPr="00F15F35">
              <w:rPr>
                <w:rFonts w:ascii="Calibri" w:hAnsi="Calibri"/>
              </w:rPr>
              <w:t>Mantener el enlace con el Grupo de trabajo sobre capturas incidentales de la CMS y participar en los talleres sobre capturas incidentales de la CMS</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37FE0" w:rsidP="00A8700A">
            <w:pPr>
              <w:widowControl/>
              <w:autoSpaceDE/>
              <w:autoSpaceDN/>
              <w:adjustRightInd/>
              <w:jc w:val="center"/>
              <w:rPr>
                <w:rFonts w:ascii="Calibri" w:hAnsi="Calibri"/>
                <w:szCs w:val="20"/>
              </w:rPr>
            </w:pPr>
            <w:r>
              <w:rPr>
                <w:rFonts w:ascii="Calibri" w:hAnsi="Calibri"/>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Pr>
                <w:rFonts w:ascii="Calibri" w:hAnsi="Calibri"/>
              </w:rPr>
              <w:t>GTCI</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szCs w:val="20"/>
              </w:rPr>
            </w:pPr>
            <w:r>
              <w:rPr>
                <w:rFonts w:ascii="Calibri" w:hAnsi="Calibri"/>
              </w:rPr>
              <w:t>H</w:t>
            </w:r>
            <w:r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highlight w:val="yellow"/>
              </w:rPr>
            </w:pPr>
            <w:r w:rsidRPr="00F15F35">
              <w:rPr>
                <w:rFonts w:ascii="Calibri" w:hAnsi="Calibri"/>
              </w:rPr>
              <w:t>Formular recomendaciones al CA y preparar informes sobre las actividades para presentarlas a las reuniones del CA</w:t>
            </w:r>
          </w:p>
        </w:tc>
        <w:tc>
          <w:tcPr>
            <w:tcW w:w="1260" w:type="dxa"/>
            <w:vAlign w:val="center"/>
          </w:tcPr>
          <w:p w:rsidR="003C6CDE" w:rsidRPr="00F15F35" w:rsidRDefault="00337FE0" w:rsidP="00A8700A">
            <w:pPr>
              <w:widowControl/>
              <w:autoSpaceDE/>
              <w:autoSpaceDN/>
              <w:adjustRightInd/>
              <w:jc w:val="center"/>
              <w:rPr>
                <w:rFonts w:ascii="Calibri" w:hAnsi="Calibri"/>
                <w:szCs w:val="20"/>
              </w:rPr>
            </w:pPr>
            <w:r w:rsidRPr="00F15F35">
              <w:rPr>
                <w:rFonts w:ascii="Calibri" w:hAnsi="Calibri"/>
              </w:rPr>
              <w:t>Mandato GTE</w:t>
            </w:r>
          </w:p>
        </w:tc>
        <w:tc>
          <w:tcPr>
            <w:tcW w:w="990" w:type="dxa"/>
            <w:tcMar>
              <w:top w:w="57" w:type="dxa"/>
              <w:left w:w="57" w:type="dxa"/>
              <w:bottom w:w="57" w:type="dxa"/>
              <w:right w:w="57" w:type="dxa"/>
            </w:tcMar>
            <w:vAlign w:val="center"/>
          </w:tcPr>
          <w:p w:rsidR="003C6CDE" w:rsidRPr="00F15F35" w:rsidRDefault="00337FE0" w:rsidP="00A8700A">
            <w:pPr>
              <w:widowControl/>
              <w:autoSpaceDE/>
              <w:autoSpaceDN/>
              <w:adjustRightInd/>
              <w:jc w:val="center"/>
              <w:rPr>
                <w:rFonts w:ascii="Calibri" w:hAnsi="Calibri"/>
                <w:szCs w:val="20"/>
              </w:rPr>
            </w:pPr>
            <w:r>
              <w:rPr>
                <w:rFonts w:ascii="Calibri" w:hAnsi="Calibri"/>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Según sea necesario</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Pr>
                <w:rFonts w:ascii="Calibri" w:hAnsi="Calibri"/>
              </w:rPr>
              <w:t>GTCI</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szCs w:val="20"/>
              </w:rPr>
            </w:pPr>
            <w:r>
              <w:rPr>
                <w:rFonts w:ascii="Calibri" w:hAnsi="Calibri"/>
              </w:rPr>
              <w:t>H</w:t>
            </w:r>
            <w:r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 xml:space="preserve">Examinar y compilar datos históricos de desembarques y de mercados relativos a las especies fundamentales (captura, esfuerzo, distribución espacial) para colmar </w:t>
            </w:r>
            <w:r>
              <w:rPr>
                <w:rFonts w:ascii="Calibri" w:hAnsi="Calibri"/>
              </w:rPr>
              <w:t xml:space="preserve">las </w:t>
            </w:r>
            <w:r w:rsidRPr="00F15F35">
              <w:rPr>
                <w:rFonts w:ascii="Calibri" w:hAnsi="Calibri"/>
              </w:rPr>
              <w:t>lagunas de datos e integrar los datos en las medidas de conservación y gestión (estudio teórico)</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3.2</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Media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Pr>
                <w:rFonts w:ascii="Calibri" w:hAnsi="Calibri"/>
              </w:rPr>
              <w:t>GTCI</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Consultor</w:t>
            </w: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14490" w:type="dxa"/>
            <w:gridSpan w:val="7"/>
            <w:shd w:val="clear" w:color="auto" w:fill="DEEAF6"/>
            <w:vAlign w:val="center"/>
          </w:tcPr>
          <w:p w:rsidR="003C6CDE" w:rsidRPr="00F15F35" w:rsidRDefault="003C6CDE" w:rsidP="00C85074">
            <w:pPr>
              <w:widowControl/>
              <w:autoSpaceDE/>
              <w:autoSpaceDN/>
              <w:adjustRightInd/>
              <w:spacing w:line="276" w:lineRule="auto"/>
              <w:jc w:val="center"/>
              <w:rPr>
                <w:rFonts w:ascii="Calibri" w:hAnsi="Calibri"/>
                <w:b/>
                <w:szCs w:val="20"/>
              </w:rPr>
            </w:pPr>
            <w:r w:rsidRPr="00F15F35">
              <w:rPr>
                <w:rFonts w:ascii="Calibri" w:hAnsi="Calibri"/>
                <w:b/>
              </w:rPr>
              <w:t>Gestión y recopilación de datos sobre la pesca</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highlight w:val="yellow"/>
              </w:rPr>
            </w:pPr>
            <w:r w:rsidRPr="00F15F35">
              <w:rPr>
                <w:rFonts w:ascii="Calibri" w:hAnsi="Calibri"/>
              </w:rPr>
              <w:t>Ampliar y fomentar la investigación independiente de la pesca-(p. ej., datos históricos de especies explotadas comercialmente) para proporcionar datos adicionales para su uso en las evaluaciones de poblaciones de peces e informar a las OROP pertinentes</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2.6</w:t>
            </w:r>
          </w:p>
          <w:p w:rsidR="003C6CDE" w:rsidRPr="00F15F35" w:rsidRDefault="003C6CDE" w:rsidP="00A8700A">
            <w:pPr>
              <w:widowControl/>
              <w:autoSpaceDE/>
              <w:autoSpaceDN/>
              <w:adjustRightInd/>
              <w:jc w:val="center"/>
              <w:rPr>
                <w:rFonts w:ascii="Calibri" w:hAnsi="Calibri"/>
                <w:szCs w:val="20"/>
                <w:highlight w:val="yellow"/>
              </w:rPr>
            </w:pPr>
            <w:r w:rsidRPr="00F15F35">
              <w:rPr>
                <w:rFonts w:ascii="Calibri" w:hAnsi="Calibri"/>
              </w:rPr>
              <w:t>PC 3.2</w:t>
            </w:r>
          </w:p>
        </w:tc>
        <w:tc>
          <w:tcPr>
            <w:tcW w:w="990" w:type="dxa"/>
            <w:tcMar>
              <w:top w:w="57" w:type="dxa"/>
              <w:left w:w="57" w:type="dxa"/>
              <w:bottom w:w="57" w:type="dxa"/>
              <w:right w:w="57" w:type="dxa"/>
            </w:tcMar>
            <w:vAlign w:val="center"/>
          </w:tcPr>
          <w:p w:rsidR="003C6CDE" w:rsidRPr="00F15F35" w:rsidRDefault="00337FE0" w:rsidP="00A8700A">
            <w:pPr>
              <w:widowControl/>
              <w:autoSpaceDE/>
              <w:autoSpaceDN/>
              <w:adjustRightInd/>
              <w:jc w:val="center"/>
              <w:rPr>
                <w:rFonts w:ascii="Calibri" w:hAnsi="Calibri"/>
                <w:szCs w:val="20"/>
                <w:highlight w:val="yellow"/>
              </w:rPr>
            </w:pPr>
            <w:r>
              <w:rPr>
                <w:rFonts w:ascii="Calibri" w:hAnsi="Calibri"/>
              </w:rPr>
              <w:t>Media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SIG</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Pr>
                <w:rFonts w:ascii="Calibri" w:hAnsi="Calibri"/>
              </w:rPr>
              <w:t>GTCI</w:t>
            </w:r>
          </w:p>
          <w:p w:rsidR="003C6CDE" w:rsidRPr="00F15F35" w:rsidRDefault="003C6CDE" w:rsidP="00A8700A">
            <w:pPr>
              <w:widowControl/>
              <w:autoSpaceDE/>
              <w:autoSpaceDN/>
              <w:adjustRightInd/>
              <w:spacing w:line="276" w:lineRule="auto"/>
              <w:jc w:val="center"/>
              <w:rPr>
                <w:rFonts w:ascii="Calibri" w:hAnsi="Calibri"/>
                <w:szCs w:val="20"/>
                <w:highlight w:val="yellow"/>
              </w:rPr>
            </w:pPr>
            <w:r w:rsidRPr="00F15F35">
              <w:rPr>
                <w:rFonts w:ascii="Calibri" w:hAnsi="Calibri"/>
              </w:rPr>
              <w:t>SEC</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 xml:space="preserve">Promover investigaciones centradas en la identificación de las artes de pesca selectiva de </w:t>
            </w:r>
            <w:r>
              <w:rPr>
                <w:rFonts w:ascii="Calibri" w:hAnsi="Calibri"/>
              </w:rPr>
              <w:t xml:space="preserve">las </w:t>
            </w:r>
            <w:r w:rsidRPr="00F15F35">
              <w:rPr>
                <w:rFonts w:ascii="Calibri" w:hAnsi="Calibri"/>
              </w:rPr>
              <w:t>especies</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4.5</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Media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SIG</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Financiar y respaldar los cursos de capacitación nacionales e internacionales en:</w:t>
            </w:r>
          </w:p>
          <w:p w:rsidR="003C6CDE" w:rsidRPr="00F15F35" w:rsidRDefault="003C6CDE" w:rsidP="00C85074">
            <w:pPr>
              <w:pStyle w:val="ListParagraph"/>
              <w:widowControl/>
              <w:numPr>
                <w:ilvl w:val="0"/>
                <w:numId w:val="5"/>
              </w:numPr>
              <w:autoSpaceDE/>
              <w:autoSpaceDN/>
              <w:adjustRightInd/>
              <w:rPr>
                <w:rFonts w:ascii="Calibri" w:hAnsi="Calibri"/>
                <w:szCs w:val="20"/>
              </w:rPr>
            </w:pPr>
            <w:r w:rsidRPr="00F15F35">
              <w:rPr>
                <w:rFonts w:ascii="Calibri" w:hAnsi="Calibri"/>
              </w:rPr>
              <w:t>recopilación de datos</w:t>
            </w:r>
          </w:p>
          <w:p w:rsidR="003C6CDE" w:rsidRPr="00F15F35" w:rsidRDefault="003C6CDE" w:rsidP="00C85074">
            <w:pPr>
              <w:pStyle w:val="ListParagraph"/>
              <w:widowControl/>
              <w:numPr>
                <w:ilvl w:val="0"/>
                <w:numId w:val="5"/>
              </w:numPr>
              <w:autoSpaceDE/>
              <w:autoSpaceDN/>
              <w:adjustRightInd/>
              <w:rPr>
                <w:rFonts w:ascii="Calibri" w:hAnsi="Calibri"/>
                <w:szCs w:val="20"/>
              </w:rPr>
            </w:pPr>
            <w:r w:rsidRPr="00F15F35">
              <w:rPr>
                <w:rFonts w:ascii="Calibri" w:hAnsi="Calibri"/>
              </w:rPr>
              <w:t>identificación de tiburones</w:t>
            </w:r>
          </w:p>
          <w:p w:rsidR="003C6CDE" w:rsidRPr="00F15F35" w:rsidRDefault="003C6CDE" w:rsidP="00C85074">
            <w:pPr>
              <w:pStyle w:val="ListParagraph"/>
              <w:widowControl/>
              <w:numPr>
                <w:ilvl w:val="0"/>
                <w:numId w:val="15"/>
              </w:numPr>
              <w:autoSpaceDE/>
              <w:autoSpaceDN/>
              <w:adjustRightInd/>
              <w:rPr>
                <w:rFonts w:ascii="Calibri" w:hAnsi="Calibri"/>
                <w:szCs w:val="20"/>
              </w:rPr>
            </w:pPr>
            <w:r w:rsidRPr="00F15F35">
              <w:rPr>
                <w:rFonts w:ascii="Calibri" w:hAnsi="Calibri"/>
              </w:rPr>
              <w:t>Protocolos de manipulación y liberación inocuas</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1.2</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SIG</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Prestar asistencia en la redacción del texto legislativo para aplicar y hacer cumplir los reglamentos de pesca</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6.1</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6.2</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Media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Según sea necesario</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color w:val="538135"/>
                <w:szCs w:val="20"/>
              </w:rPr>
            </w:pPr>
            <w:r w:rsidRPr="00F15F35">
              <w:rPr>
                <w:rFonts w:ascii="Calibri" w:hAnsi="Calibri"/>
              </w:rPr>
              <w:t xml:space="preserve">Alentar a todos los Estados del área de distribución a adherirse a la CMS y </w:t>
            </w:r>
            <w:r>
              <w:rPr>
                <w:rFonts w:ascii="Calibri" w:hAnsi="Calibri"/>
              </w:rPr>
              <w:t xml:space="preserve">a </w:t>
            </w:r>
            <w:r w:rsidRPr="00F15F35">
              <w:rPr>
                <w:rFonts w:ascii="Calibri" w:hAnsi="Calibri"/>
              </w:rPr>
              <w:t>hacerse Signatarios del MdE, y cumplir las decisiones y recomendaciones.</w:t>
            </w:r>
          </w:p>
        </w:tc>
        <w:tc>
          <w:tcPr>
            <w:tcW w:w="1260" w:type="dxa"/>
            <w:vAlign w:val="center"/>
          </w:tcPr>
          <w:p w:rsidR="003C6CDE" w:rsidRPr="00F15F35" w:rsidRDefault="003C6CDE" w:rsidP="00A8700A">
            <w:pPr>
              <w:widowControl/>
              <w:autoSpaceDE/>
              <w:autoSpaceDN/>
              <w:adjustRightInd/>
              <w:jc w:val="center"/>
              <w:rPr>
                <w:rFonts w:ascii="Calibri" w:hAnsi="Calibri"/>
                <w:color w:val="538135"/>
                <w:szCs w:val="20"/>
              </w:rPr>
            </w:pPr>
            <w:r w:rsidRPr="00F15F35">
              <w:rPr>
                <w:rFonts w:ascii="Calibri" w:hAnsi="Calibri"/>
              </w:rPr>
              <w:t>PC 16.2</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p>
          <w:p w:rsidR="003C6CDE" w:rsidRPr="00F15F35" w:rsidRDefault="003C6CDE" w:rsidP="00A8700A">
            <w:pPr>
              <w:widowControl/>
              <w:autoSpaceDE/>
              <w:autoSpaceDN/>
              <w:adjustRightInd/>
              <w:jc w:val="center"/>
              <w:rPr>
                <w:rFonts w:ascii="Calibri" w:hAnsi="Calibri"/>
                <w:szCs w:val="20"/>
              </w:rPr>
            </w:pPr>
            <w:r>
              <w:rPr>
                <w:rFonts w:ascii="Calibri" w:hAnsi="Calibri"/>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538135"/>
                <w:szCs w:val="20"/>
              </w:rPr>
            </w:pPr>
            <w:r w:rsidRPr="00337FE0">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SIG</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color w:val="538135"/>
                <w:szCs w:val="20"/>
              </w:rPr>
            </w:pPr>
            <w:r w:rsidRPr="00F15F35">
              <w:rPr>
                <w:rFonts w:ascii="Calibri" w:hAnsi="Calibri"/>
              </w:rPr>
              <w:t>Socios colaboradores</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color w:val="538135"/>
                <w:szCs w:val="20"/>
              </w:rPr>
            </w:pPr>
            <w:r>
              <w:rPr>
                <w:rFonts w:ascii="Calibri" w:hAnsi="Calibri"/>
              </w:rPr>
              <w:t>H</w:t>
            </w:r>
            <w:r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Presentar recomendaciones y declaraciones de posición a los funcionarios del gobierno y a los representantes de la industria pesquera en las reuniones y talleres internacionales pertinentes</w:t>
            </w:r>
          </w:p>
          <w:p w:rsidR="003C6CDE" w:rsidRPr="00F15F35" w:rsidRDefault="003C6CDE"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4.5</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6.1</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6.2</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6.3</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Media</w:t>
            </w:r>
          </w:p>
        </w:tc>
        <w:tc>
          <w:tcPr>
            <w:tcW w:w="1170" w:type="dxa"/>
            <w:tcMar>
              <w:top w:w="57" w:type="dxa"/>
              <w:left w:w="57" w:type="dxa"/>
              <w:bottom w:w="57" w:type="dxa"/>
              <w:right w:w="57" w:type="dxa"/>
            </w:tcMar>
            <w:vAlign w:val="center"/>
          </w:tcPr>
          <w:p w:rsidR="003C6CDE" w:rsidRPr="00F15F35" w:rsidRDefault="00337FE0" w:rsidP="00A8700A">
            <w:pPr>
              <w:widowControl/>
              <w:autoSpaceDE/>
              <w:autoSpaceDN/>
              <w:adjustRightInd/>
              <w:jc w:val="center"/>
              <w:rPr>
                <w:rFonts w:ascii="Calibri" w:hAnsi="Calibri"/>
                <w:color w:val="538135"/>
                <w:szCs w:val="20"/>
              </w:rPr>
            </w:pPr>
            <w:r w:rsidRPr="00F15F35">
              <w:rPr>
                <w:rFonts w:ascii="Calibri" w:hAnsi="Calibri"/>
              </w:rPr>
              <w:t>Según sea necesario</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color w:val="538135"/>
                <w:szCs w:val="20"/>
              </w:rPr>
            </w:pPr>
            <w:r>
              <w:rPr>
                <w:rFonts w:ascii="Calibri" w:hAnsi="Calibri"/>
              </w:rPr>
              <w:t>H</w:t>
            </w:r>
            <w:r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Cuando sea posible, participar en calidad de observadores en las reuniones internacionales pertinentes (IOTC, la CICAA, etc.) o enviar expertos para participar en nombre del MdE</w:t>
            </w:r>
          </w:p>
          <w:p w:rsidR="003C6CDE" w:rsidRPr="00F15F35" w:rsidRDefault="003C6CDE"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4.5</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6.1</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14.3</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Media</w:t>
            </w:r>
          </w:p>
        </w:tc>
        <w:tc>
          <w:tcPr>
            <w:tcW w:w="1170" w:type="dxa"/>
            <w:tcMar>
              <w:top w:w="57" w:type="dxa"/>
              <w:left w:w="57" w:type="dxa"/>
              <w:bottom w:w="57" w:type="dxa"/>
              <w:right w:w="57" w:type="dxa"/>
            </w:tcMar>
            <w:vAlign w:val="center"/>
          </w:tcPr>
          <w:p w:rsidR="003C6CDE" w:rsidRPr="00F15F35" w:rsidRDefault="00337FE0" w:rsidP="00A8700A">
            <w:pPr>
              <w:widowControl/>
              <w:autoSpaceDE/>
              <w:autoSpaceDN/>
              <w:adjustRightInd/>
              <w:jc w:val="center"/>
              <w:rPr>
                <w:rFonts w:ascii="Calibri" w:hAnsi="Calibri"/>
                <w:color w:val="538135"/>
                <w:szCs w:val="20"/>
              </w:rPr>
            </w:pPr>
            <w:r w:rsidRPr="00337FE0">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color w:val="538135"/>
                <w:szCs w:val="20"/>
              </w:rPr>
            </w:pPr>
            <w:r w:rsidRPr="00F15F35">
              <w:rPr>
                <w:rFonts w:ascii="Calibri" w:hAnsi="Calibri"/>
              </w:rPr>
              <w:t>Socios colaboradores</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color w:val="538135"/>
                <w:szCs w:val="20"/>
              </w:rPr>
            </w:pPr>
            <w:r>
              <w:rPr>
                <w:rFonts w:ascii="Calibri" w:hAnsi="Calibri"/>
              </w:rPr>
              <w:t>H</w:t>
            </w:r>
            <w:r w:rsidRPr="00F15F35">
              <w:rPr>
                <w:rFonts w:ascii="Calibri" w:hAnsi="Calibri"/>
              </w:rPr>
              <w:t>ipótesis presupuestaria 1</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Coordinar entre la CITES, la UICN</w:t>
            </w:r>
            <w:r>
              <w:rPr>
                <w:rFonts w:ascii="Calibri" w:hAnsi="Calibri"/>
              </w:rPr>
              <w:t xml:space="preserve"> y</w:t>
            </w:r>
            <w:r w:rsidRPr="00F15F35">
              <w:rPr>
                <w:rFonts w:ascii="Calibri" w:hAnsi="Calibri"/>
              </w:rPr>
              <w:t xml:space="preserve"> TRAFFIC para facilitar la la elaboración de las listas </w:t>
            </w:r>
            <w:r>
              <w:rPr>
                <w:rFonts w:ascii="Calibri" w:hAnsi="Calibri"/>
              </w:rPr>
              <w:t xml:space="preserve">del </w:t>
            </w:r>
            <w:r w:rsidRPr="00F15F35">
              <w:rPr>
                <w:rFonts w:ascii="Calibri" w:hAnsi="Calibri"/>
              </w:rPr>
              <w:t xml:space="preserve">Apéndice I de la CMS y la CITES y fomentar la sensibilización mediante la organización de talleres regionales de capacitación sobre </w:t>
            </w:r>
            <w:r w:rsidRPr="00F15F35">
              <w:rPr>
                <w:rFonts w:ascii="Calibri" w:hAnsi="Calibri"/>
                <w:b/>
              </w:rPr>
              <w:t>capturas y comercio sostenibles</w:t>
            </w:r>
          </w:p>
          <w:p w:rsidR="003C6CDE" w:rsidRPr="00F15F35" w:rsidRDefault="003C6CDE" w:rsidP="00C85074">
            <w:pPr>
              <w:pStyle w:val="ListParagraph"/>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7.2</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14.3</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Media</w:t>
            </w:r>
          </w:p>
        </w:tc>
        <w:tc>
          <w:tcPr>
            <w:tcW w:w="1170" w:type="dxa"/>
            <w:tcMar>
              <w:top w:w="57" w:type="dxa"/>
              <w:left w:w="57" w:type="dxa"/>
              <w:bottom w:w="57" w:type="dxa"/>
              <w:right w:w="57" w:type="dxa"/>
            </w:tcMar>
            <w:vAlign w:val="center"/>
          </w:tcPr>
          <w:p w:rsidR="003C6CDE" w:rsidRPr="00F15F35" w:rsidRDefault="00337FE0" w:rsidP="00A8700A">
            <w:pPr>
              <w:widowControl/>
              <w:autoSpaceDE/>
              <w:autoSpaceDN/>
              <w:adjustRightInd/>
              <w:jc w:val="center"/>
              <w:rPr>
                <w:rFonts w:ascii="Calibri" w:hAnsi="Calibri"/>
                <w:color w:val="538135"/>
                <w:szCs w:val="20"/>
              </w:rPr>
            </w:pPr>
            <w:r w:rsidRPr="00337FE0">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color w:val="538135"/>
                <w:szCs w:val="20"/>
              </w:rPr>
            </w:pPr>
            <w:r w:rsidRPr="00F15F35">
              <w:rPr>
                <w:rFonts w:ascii="Calibri" w:hAnsi="Calibri"/>
              </w:rPr>
              <w:t>SEC</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color w:val="538135"/>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Default="003C6CDE" w:rsidP="00C85074">
            <w:pPr>
              <w:widowControl/>
              <w:autoSpaceDE/>
              <w:autoSpaceDN/>
              <w:adjustRightInd/>
              <w:rPr>
                <w:rFonts w:ascii="Calibri" w:hAnsi="Calibri"/>
              </w:rPr>
            </w:pPr>
            <w:r w:rsidRPr="00F15F35">
              <w:rPr>
                <w:rFonts w:ascii="Calibri" w:hAnsi="Calibri"/>
              </w:rPr>
              <w:t>Mejorar el seguimiento y la aplicación en áreas marinas protegidas (AMP), mejorar la aplicación</w:t>
            </w:r>
          </w:p>
          <w:p w:rsidR="00C85074" w:rsidRPr="00F15F35" w:rsidRDefault="00C85074" w:rsidP="00C85074">
            <w:pPr>
              <w:widowControl/>
              <w:autoSpaceDE/>
              <w:autoSpaceDN/>
              <w:adjustRightInd/>
              <w:rPr>
                <w:rFonts w:ascii="Calibri" w:hAnsi="Calibri"/>
                <w:szCs w:val="20"/>
              </w:rPr>
            </w:pPr>
          </w:p>
          <w:p w:rsidR="003C6CDE" w:rsidRPr="00F15F35" w:rsidRDefault="003C6CDE"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14.5</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Media</w:t>
            </w:r>
          </w:p>
        </w:tc>
        <w:tc>
          <w:tcPr>
            <w:tcW w:w="1170" w:type="dxa"/>
            <w:tcMar>
              <w:top w:w="57" w:type="dxa"/>
              <w:left w:w="57" w:type="dxa"/>
              <w:bottom w:w="57" w:type="dxa"/>
              <w:right w:w="57" w:type="dxa"/>
            </w:tcMar>
            <w:vAlign w:val="center"/>
          </w:tcPr>
          <w:p w:rsidR="003C6CDE" w:rsidRPr="00F15F35" w:rsidRDefault="00337FE0" w:rsidP="00A8700A">
            <w:pPr>
              <w:widowControl/>
              <w:autoSpaceDE/>
              <w:autoSpaceDN/>
              <w:adjustRightInd/>
              <w:jc w:val="center"/>
              <w:rPr>
                <w:rFonts w:ascii="Calibri" w:hAnsi="Calibri"/>
                <w:color w:val="538135"/>
                <w:szCs w:val="20"/>
              </w:rPr>
            </w:pPr>
            <w:r w:rsidRPr="00337FE0">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color w:val="538135"/>
                <w:szCs w:val="20"/>
              </w:rPr>
            </w:pPr>
            <w:r w:rsidRPr="00F15F35">
              <w:rPr>
                <w:rFonts w:ascii="Calibri" w:hAnsi="Calibri"/>
              </w:rPr>
              <w:t>SIG</w:t>
            </w: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color w:val="538135"/>
                <w:szCs w:val="20"/>
              </w:rPr>
            </w:pPr>
          </w:p>
        </w:tc>
      </w:tr>
      <w:tr w:rsidR="003C6CDE" w:rsidRPr="00EA106E" w:rsidTr="00C85074">
        <w:trPr>
          <w:cantSplit/>
          <w:trHeight w:val="424"/>
        </w:trPr>
        <w:tc>
          <w:tcPr>
            <w:tcW w:w="14490" w:type="dxa"/>
            <w:gridSpan w:val="7"/>
            <w:shd w:val="clear" w:color="auto" w:fill="DEEAF6"/>
            <w:vAlign w:val="center"/>
          </w:tcPr>
          <w:p w:rsidR="003C6CDE" w:rsidRPr="00F15F35" w:rsidRDefault="003C6CDE" w:rsidP="00C85074">
            <w:pPr>
              <w:widowControl/>
              <w:tabs>
                <w:tab w:val="left" w:pos="3225"/>
              </w:tabs>
              <w:autoSpaceDE/>
              <w:autoSpaceDN/>
              <w:adjustRightInd/>
              <w:spacing w:line="276" w:lineRule="auto"/>
              <w:jc w:val="center"/>
              <w:rPr>
                <w:rFonts w:ascii="Calibri" w:hAnsi="Calibri"/>
                <w:b/>
                <w:szCs w:val="20"/>
              </w:rPr>
            </w:pPr>
            <w:r w:rsidRPr="00F15F35">
              <w:rPr>
                <w:rFonts w:ascii="Calibri" w:hAnsi="Calibri"/>
                <w:b/>
              </w:rPr>
              <w:t>Cooperación y asociaciones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rPr>
                <w:rFonts w:ascii="Calibri" w:hAnsi="Calibri"/>
              </w:rPr>
            </w:pPr>
            <w:r w:rsidRPr="00F15F35">
              <w:rPr>
                <w:rFonts w:ascii="Calibri" w:hAnsi="Calibri"/>
              </w:rPr>
              <w:t>Cooperar con la familia de la CMS en cuestiones relacionadas con la conservación de los tiburones</w:t>
            </w:r>
          </w:p>
          <w:p w:rsidR="003C6CDE" w:rsidRPr="00F15F35" w:rsidRDefault="003C6CDE" w:rsidP="00C85074">
            <w:pPr>
              <w:pStyle w:val="ListParagraph"/>
              <w:widowControl/>
              <w:numPr>
                <w:ilvl w:val="0"/>
                <w:numId w:val="8"/>
              </w:numPr>
              <w:autoSpaceDE/>
              <w:autoSpaceDN/>
              <w:adjustRightInd/>
              <w:contextualSpacing w:val="0"/>
              <w:rPr>
                <w:rFonts w:ascii="Calibri" w:hAnsi="Calibri"/>
              </w:rPr>
            </w:pPr>
            <w:r w:rsidRPr="00F15F35">
              <w:rPr>
                <w:rFonts w:ascii="Calibri" w:hAnsi="Calibri"/>
              </w:rPr>
              <w:t>Contribuir a la aplicación de la Resolución  11.20, las Resoluciones sobre capturas incidentales de la CMS (taller sobre capturas incidentales para toda la CMS)</w:t>
            </w:r>
          </w:p>
          <w:p w:rsidR="003C6CDE" w:rsidRPr="00A8700A" w:rsidRDefault="003C6CDE" w:rsidP="00C85074">
            <w:pPr>
              <w:pStyle w:val="ListParagraph"/>
              <w:widowControl/>
              <w:numPr>
                <w:ilvl w:val="0"/>
                <w:numId w:val="8"/>
              </w:numPr>
              <w:autoSpaceDE/>
              <w:autoSpaceDN/>
              <w:adjustRightInd/>
              <w:contextualSpacing w:val="0"/>
              <w:rPr>
                <w:rFonts w:ascii="Calibri" w:hAnsi="Calibri"/>
              </w:rPr>
            </w:pPr>
            <w:r w:rsidRPr="00F15F35">
              <w:rPr>
                <w:rFonts w:ascii="Calibri" w:hAnsi="Calibri"/>
              </w:rPr>
              <w:t xml:space="preserve">Contribuir a la preparación de la COP12 de la CMS y otras reuniones pertinentes de </w:t>
            </w:r>
            <w:r>
              <w:rPr>
                <w:rFonts w:ascii="Calibri" w:hAnsi="Calibri"/>
              </w:rPr>
              <w:t xml:space="preserve">la </w:t>
            </w:r>
            <w:r w:rsidRPr="00F15F35">
              <w:rPr>
                <w:rFonts w:ascii="Calibri" w:hAnsi="Calibri"/>
              </w:rPr>
              <w:t>CMS (ScC, StC)</w:t>
            </w:r>
          </w:p>
        </w:tc>
        <w:tc>
          <w:tcPr>
            <w:tcW w:w="1260" w:type="dxa"/>
            <w:vAlign w:val="center"/>
          </w:tcPr>
          <w:p w:rsidR="003C6CDE" w:rsidRPr="00F15F35" w:rsidRDefault="003C6CDE" w:rsidP="00A8700A">
            <w:pPr>
              <w:widowControl/>
              <w:autoSpaceDE/>
              <w:autoSpaceDN/>
              <w:adjustRightInd/>
              <w:jc w:val="center"/>
              <w:rPr>
                <w:rFonts w:ascii="Calibri" w:hAnsi="Calibri"/>
                <w:color w:val="538135"/>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p>
          <w:p w:rsidR="003C6CDE" w:rsidRPr="00F15F35" w:rsidRDefault="003C6CDE" w:rsidP="00A8700A">
            <w:pPr>
              <w:jc w:val="center"/>
              <w:rPr>
                <w:rFonts w:ascii="Calibri" w:hAnsi="Calibri"/>
                <w:szCs w:val="20"/>
              </w:rPr>
            </w:pPr>
          </w:p>
          <w:p w:rsidR="003C6CDE" w:rsidRPr="00F15F35" w:rsidRDefault="003C6CDE" w:rsidP="00A8700A">
            <w:pPr>
              <w:jc w:val="center"/>
              <w:rPr>
                <w:rFonts w:ascii="Calibri" w:hAnsi="Calibri"/>
                <w:szCs w:val="20"/>
              </w:rPr>
            </w:pPr>
          </w:p>
          <w:p w:rsidR="003C6CDE" w:rsidRPr="00F15F35" w:rsidRDefault="003C6CDE" w:rsidP="00A8700A">
            <w:pPr>
              <w:jc w:val="center"/>
              <w:rPr>
                <w:rFonts w:ascii="Calibri" w:hAnsi="Calibri"/>
                <w:szCs w:val="20"/>
              </w:rPr>
            </w:pPr>
            <w:r>
              <w:rPr>
                <w:rFonts w:ascii="Calibri" w:hAnsi="Calibri"/>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color w:val="538135"/>
                <w:szCs w:val="20"/>
              </w:rPr>
            </w:pPr>
            <w:r w:rsidRPr="00F15F35">
              <w:rPr>
                <w:rFonts w:ascii="Calibri" w:hAnsi="Calibri"/>
              </w:rPr>
              <w:t>SEC</w:t>
            </w:r>
          </w:p>
        </w:tc>
        <w:tc>
          <w:tcPr>
            <w:tcW w:w="1980" w:type="dxa"/>
            <w:vAlign w:val="center"/>
          </w:tcPr>
          <w:p w:rsidR="003C6CDE" w:rsidRPr="00F15F35" w:rsidRDefault="00337FE0" w:rsidP="00A8700A">
            <w:pPr>
              <w:widowControl/>
              <w:autoSpaceDE/>
              <w:autoSpaceDN/>
              <w:adjustRightInd/>
              <w:spacing w:line="276" w:lineRule="auto"/>
              <w:jc w:val="center"/>
              <w:rPr>
                <w:rFonts w:ascii="Calibri" w:hAnsi="Calibri"/>
                <w:color w:val="538135"/>
                <w:szCs w:val="20"/>
              </w:rPr>
            </w:pPr>
            <w:r>
              <w:rPr>
                <w:rFonts w:ascii="Calibri" w:hAnsi="Calibri"/>
              </w:rPr>
              <w:t>H</w:t>
            </w:r>
            <w:r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 xml:space="preserve">Contribuir a la aplicación del </w:t>
            </w:r>
            <w:r w:rsidRPr="00F15F35">
              <w:rPr>
                <w:rFonts w:ascii="Calibri" w:hAnsi="Calibri"/>
                <w:b/>
              </w:rPr>
              <w:t>Programa de Trabajo Conjunto CMS CITES 2015-2020</w:t>
            </w:r>
            <w:r w:rsidRPr="00F15F35">
              <w:rPr>
                <w:rFonts w:ascii="Calibri" w:hAnsi="Calibri"/>
              </w:rPr>
              <w:t xml:space="preserve"> para tiburones y rayas</w:t>
            </w:r>
          </w:p>
          <w:p w:rsidR="003C6CDE" w:rsidRPr="00F15F35" w:rsidRDefault="003C6CDE" w:rsidP="00C85074">
            <w:pPr>
              <w:pStyle w:val="ListParagraph"/>
              <w:widowControl/>
              <w:numPr>
                <w:ilvl w:val="0"/>
                <w:numId w:val="11"/>
              </w:numPr>
              <w:autoSpaceDE/>
              <w:autoSpaceDN/>
              <w:adjustRightInd/>
              <w:rPr>
                <w:rFonts w:ascii="Calibri" w:hAnsi="Calibri"/>
                <w:szCs w:val="20"/>
              </w:rPr>
            </w:pPr>
            <w:r w:rsidRPr="00F15F35">
              <w:rPr>
                <w:rFonts w:ascii="Calibri" w:hAnsi="Calibri"/>
              </w:rPr>
              <w:t>Actividad B17: Optimizar la eficacia de las medidas adoptadas por las Partes en la CMS y la CITES para tiburones y rayas, fortaleciendo las sinergias con la FAO, las OROP y otros órganos pertinentes</w:t>
            </w:r>
          </w:p>
          <w:p w:rsidR="003C6CDE" w:rsidRPr="00F15F35" w:rsidRDefault="003C6CDE" w:rsidP="00C85074">
            <w:pPr>
              <w:pStyle w:val="ListParagraph"/>
              <w:widowControl/>
              <w:numPr>
                <w:ilvl w:val="0"/>
                <w:numId w:val="11"/>
              </w:numPr>
              <w:autoSpaceDE/>
              <w:autoSpaceDN/>
              <w:adjustRightInd/>
              <w:rPr>
                <w:rFonts w:ascii="Calibri" w:hAnsi="Calibri"/>
                <w:szCs w:val="20"/>
              </w:rPr>
            </w:pPr>
            <w:r w:rsidRPr="00F15F35">
              <w:rPr>
                <w:rFonts w:ascii="Calibri" w:hAnsi="Calibri"/>
              </w:rPr>
              <w:t>Actividad B18: Cooperar en la creación de capacidad respecto de la aplicación de los reglamentos de las dos convenciones relacionadas con los tiburones y las rayas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PC 14.3</w:t>
            </w:r>
          </w:p>
          <w:p w:rsidR="003C6CDE" w:rsidRPr="00F15F35" w:rsidRDefault="003C6CDE" w:rsidP="00A8700A">
            <w:pPr>
              <w:widowControl/>
              <w:autoSpaceDE/>
              <w:autoSpaceDN/>
              <w:adjustRightInd/>
              <w:jc w:val="center"/>
              <w:rPr>
                <w:rFonts w:ascii="Calibri" w:hAnsi="Calibri"/>
                <w:color w:val="538135"/>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color w:val="538135"/>
                <w:szCs w:val="20"/>
              </w:rPr>
            </w:pPr>
            <w:r w:rsidRPr="00F15F35">
              <w:rPr>
                <w:rFonts w:ascii="Calibri" w:hAnsi="Calibri"/>
              </w:rPr>
              <w:t>SEC</w:t>
            </w:r>
          </w:p>
        </w:tc>
        <w:tc>
          <w:tcPr>
            <w:tcW w:w="1980" w:type="dxa"/>
            <w:vAlign w:val="center"/>
          </w:tcPr>
          <w:p w:rsidR="003C6CDE" w:rsidRPr="00F15F35" w:rsidRDefault="004C6309" w:rsidP="00A8700A">
            <w:pPr>
              <w:widowControl/>
              <w:autoSpaceDE/>
              <w:autoSpaceDN/>
              <w:adjustRightInd/>
              <w:spacing w:line="276" w:lineRule="auto"/>
              <w:jc w:val="center"/>
              <w:rPr>
                <w:rFonts w:ascii="Calibri" w:hAnsi="Calibri"/>
                <w:color w:val="538135"/>
                <w:szCs w:val="20"/>
              </w:rPr>
            </w:pPr>
            <w:r>
              <w:rPr>
                <w:rFonts w:ascii="Calibri" w:hAnsi="Calibri"/>
              </w:rPr>
              <w:t>H</w:t>
            </w:r>
            <w:r w:rsidRPr="00F15F35">
              <w:rPr>
                <w:rFonts w:ascii="Calibri" w:hAnsi="Calibri"/>
              </w:rPr>
              <w:t>ipótesis presupuestaria 1</w:t>
            </w:r>
            <w:r>
              <w:rPr>
                <w:rFonts w:ascii="Calibri" w:hAnsi="Calibri"/>
              </w:rPr>
              <w:t xml:space="preserve"> + </w:t>
            </w: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Fortalecer las sinergias y colaborar conjuntamente con la CITES y la FAO para respaldar los programas regionales, así como la colaboración entre los Estados del área de distribución</w:t>
            </w:r>
          </w:p>
          <w:p w:rsidR="003C6CDE" w:rsidRPr="00F15F35" w:rsidRDefault="003C6CDE" w:rsidP="00C85074">
            <w:pPr>
              <w:pStyle w:val="ListParagraph"/>
              <w:widowControl/>
              <w:numPr>
                <w:ilvl w:val="0"/>
                <w:numId w:val="10"/>
              </w:numPr>
              <w:autoSpaceDE/>
              <w:autoSpaceDN/>
              <w:adjustRightInd/>
              <w:rPr>
                <w:rFonts w:ascii="Calibri" w:hAnsi="Calibri"/>
                <w:szCs w:val="20"/>
              </w:rPr>
            </w:pPr>
            <w:r w:rsidRPr="00F15F35">
              <w:rPr>
                <w:rFonts w:ascii="Calibri" w:hAnsi="Calibri"/>
              </w:rPr>
              <w:t>Organizar reuniones periódicas (y teleconferencia</w:t>
            </w:r>
            <w:r>
              <w:rPr>
                <w:rFonts w:ascii="Calibri" w:hAnsi="Calibri"/>
              </w:rPr>
              <w:t>s</w:t>
            </w:r>
            <w:r w:rsidRPr="00F15F35">
              <w:rPr>
                <w:rFonts w:ascii="Calibri" w:hAnsi="Calibri"/>
              </w:rPr>
              <w:t>)</w:t>
            </w:r>
          </w:p>
          <w:p w:rsidR="003C6CDE" w:rsidRPr="00F15F35" w:rsidRDefault="003C6CDE" w:rsidP="00C85074">
            <w:pPr>
              <w:pStyle w:val="ListParagraph"/>
              <w:widowControl/>
              <w:numPr>
                <w:ilvl w:val="0"/>
                <w:numId w:val="10"/>
              </w:numPr>
              <w:autoSpaceDE/>
              <w:autoSpaceDN/>
              <w:adjustRightInd/>
              <w:rPr>
                <w:rFonts w:ascii="Calibri" w:hAnsi="Calibri"/>
                <w:szCs w:val="20"/>
              </w:rPr>
            </w:pPr>
            <w:r w:rsidRPr="00F15F35">
              <w:rPr>
                <w:rFonts w:ascii="Calibri" w:hAnsi="Calibri"/>
              </w:rPr>
              <w:t>Compartir las mejores prácticas</w:t>
            </w:r>
          </w:p>
          <w:p w:rsidR="00C85074" w:rsidRPr="00C85074" w:rsidRDefault="003C6CDE" w:rsidP="00C85074">
            <w:pPr>
              <w:pStyle w:val="ListParagraph"/>
              <w:widowControl/>
              <w:numPr>
                <w:ilvl w:val="0"/>
                <w:numId w:val="10"/>
              </w:numPr>
              <w:autoSpaceDE/>
              <w:autoSpaceDN/>
              <w:adjustRightInd/>
              <w:rPr>
                <w:rFonts w:ascii="Calibri" w:hAnsi="Calibri"/>
                <w:szCs w:val="20"/>
              </w:rPr>
            </w:pPr>
            <w:r w:rsidRPr="00F15F35">
              <w:rPr>
                <w:rFonts w:ascii="Calibri" w:hAnsi="Calibri"/>
              </w:rPr>
              <w:t>Coordinar actividades de conservación</w:t>
            </w:r>
          </w:p>
          <w:p w:rsidR="003C6CDE" w:rsidRPr="00F15F35" w:rsidRDefault="003C6CDE" w:rsidP="00C85074">
            <w:pPr>
              <w:pStyle w:val="ListParagraph"/>
              <w:widowControl/>
              <w:numPr>
                <w:ilvl w:val="0"/>
                <w:numId w:val="10"/>
              </w:numPr>
              <w:autoSpaceDE/>
              <w:autoSpaceDN/>
              <w:adjustRightInd/>
              <w:rPr>
                <w:rFonts w:ascii="Calibri" w:hAnsi="Calibri"/>
                <w:szCs w:val="20"/>
              </w:rPr>
            </w:pPr>
            <w:r w:rsidRPr="00F15F35">
              <w:rPr>
                <w:rFonts w:ascii="Calibri" w:hAnsi="Calibri"/>
              </w:rPr>
              <w:t>Compartir conocimientos y capacidades técnicas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PC 13.1</w:t>
            </w:r>
          </w:p>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PC 14.3</w:t>
            </w:r>
          </w:p>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p w:rsidR="003C6CDE" w:rsidRPr="00F15F35" w:rsidRDefault="003C6CDE" w:rsidP="00A8700A">
            <w:pPr>
              <w:widowControl/>
              <w:autoSpaceDE/>
              <w:autoSpaceDN/>
              <w:adjustRightInd/>
              <w:jc w:val="center"/>
              <w:rPr>
                <w:rFonts w:ascii="Calibri" w:hAnsi="Calibri"/>
                <w:color w:val="538135"/>
                <w:szCs w:val="20"/>
              </w:rPr>
            </w:pP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color w:val="538135"/>
                <w:szCs w:val="20"/>
              </w:rPr>
            </w:pPr>
          </w:p>
        </w:tc>
        <w:tc>
          <w:tcPr>
            <w:tcW w:w="1980" w:type="dxa"/>
            <w:vAlign w:val="center"/>
          </w:tcPr>
          <w:p w:rsidR="003C6CDE" w:rsidRPr="00F15F35" w:rsidRDefault="004C6309"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Establecer asociaciones y fortalecer la colaboración con las organizaciones y los acuerdos internacionales pertinentes que se ocupan de la conservación y gestión de los tiburones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PC 13.1</w:t>
            </w:r>
          </w:p>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PC 14.3</w:t>
            </w:r>
          </w:p>
          <w:p w:rsidR="003C6CDE" w:rsidRPr="00F15F35" w:rsidRDefault="003C6CDE" w:rsidP="00A8700A">
            <w:pPr>
              <w:widowControl/>
              <w:autoSpaceDE/>
              <w:autoSpaceDN/>
              <w:adjustRightInd/>
              <w:jc w:val="center"/>
              <w:rPr>
                <w:rFonts w:ascii="Calibri" w:hAnsi="Calibri"/>
                <w:color w:val="538135"/>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Pr>
                <w:rFonts w:ascii="Calibri" w:hAnsi="Calibri"/>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4C6309" w:rsidP="00A8700A">
            <w:pPr>
              <w:widowControl/>
              <w:autoSpaceDE/>
              <w:autoSpaceDN/>
              <w:adjustRightInd/>
              <w:spacing w:line="276" w:lineRule="auto"/>
              <w:jc w:val="center"/>
              <w:rPr>
                <w:rFonts w:ascii="Calibri" w:hAnsi="Calibri"/>
                <w:color w:val="538135"/>
                <w:szCs w:val="20"/>
              </w:rPr>
            </w:pPr>
            <w:r>
              <w:rPr>
                <w:rFonts w:ascii="Calibri" w:hAnsi="Calibri"/>
              </w:rPr>
              <w:t>Hipótesis presupuestaria</w:t>
            </w:r>
            <w:r w:rsidR="003C6CDE" w:rsidRPr="00F15F35">
              <w:rPr>
                <w:rFonts w:ascii="Calibri" w:hAnsi="Calibri"/>
              </w:rPr>
              <w:t xml:space="preserve"> 1</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4C6309" w:rsidP="00C85074">
            <w:pPr>
              <w:widowControl/>
              <w:autoSpaceDE/>
              <w:autoSpaceDN/>
              <w:adjustRightInd/>
              <w:rPr>
                <w:rFonts w:ascii="Calibri" w:hAnsi="Calibri"/>
                <w:szCs w:val="20"/>
              </w:rPr>
            </w:pPr>
            <w:r>
              <w:rPr>
                <w:rFonts w:ascii="Calibri" w:hAnsi="Calibri"/>
              </w:rPr>
              <w:t>Promover</w:t>
            </w:r>
            <w:r w:rsidR="003C6CDE" w:rsidRPr="00F15F35">
              <w:rPr>
                <w:rFonts w:ascii="Calibri" w:hAnsi="Calibri"/>
              </w:rPr>
              <w:t xml:space="preserve"> los esfuerzos de conservación y la cooperación entre todas las partes interesadas de los Estados del área de distribución</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13.1</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538135"/>
                <w:szCs w:val="20"/>
              </w:rPr>
            </w:pPr>
            <w:r>
              <w:rPr>
                <w:rFonts w:ascii="Calibri" w:hAnsi="Calibri"/>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538135"/>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color w:val="538135"/>
                <w:szCs w:val="20"/>
              </w:rPr>
            </w:pPr>
            <w:r w:rsidRPr="00F15F35">
              <w:rPr>
                <w:rFonts w:ascii="Calibri" w:hAnsi="Calibri"/>
              </w:rPr>
              <w:t>SEC</w:t>
            </w:r>
          </w:p>
        </w:tc>
        <w:tc>
          <w:tcPr>
            <w:tcW w:w="1980" w:type="dxa"/>
            <w:vAlign w:val="center"/>
          </w:tcPr>
          <w:p w:rsidR="003C6CDE" w:rsidRPr="00F15F35" w:rsidRDefault="004C6309"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Evaluaciones regionales de la Lista Roja de la UICN:</w:t>
            </w:r>
          </w:p>
          <w:p w:rsidR="003C6CDE" w:rsidRPr="00F15F35" w:rsidRDefault="003C6CDE" w:rsidP="00C85074">
            <w:pPr>
              <w:pStyle w:val="ListParagraph"/>
              <w:widowControl/>
              <w:numPr>
                <w:ilvl w:val="0"/>
                <w:numId w:val="6"/>
              </w:numPr>
              <w:autoSpaceDE/>
              <w:autoSpaceDN/>
              <w:adjustRightInd/>
              <w:rPr>
                <w:rFonts w:ascii="Calibri" w:hAnsi="Calibri"/>
                <w:szCs w:val="20"/>
              </w:rPr>
            </w:pPr>
            <w:r w:rsidRPr="00F15F35">
              <w:rPr>
                <w:rFonts w:ascii="Calibri" w:hAnsi="Calibri"/>
              </w:rPr>
              <w:t xml:space="preserve">Mantener el enlace con el GET de la UICN para coordinar la aplicación de medidas de los objetivos del Plan de Conservación y </w:t>
            </w:r>
            <w:r>
              <w:rPr>
                <w:rFonts w:ascii="Calibri" w:hAnsi="Calibri"/>
              </w:rPr>
              <w:t xml:space="preserve">de </w:t>
            </w:r>
            <w:r w:rsidRPr="00F15F35">
              <w:rPr>
                <w:rFonts w:ascii="Calibri" w:hAnsi="Calibri"/>
              </w:rPr>
              <w:t>planes de acción específicos según las especie</w:t>
            </w:r>
          </w:p>
          <w:p w:rsidR="003C6CDE" w:rsidRPr="00A8700A" w:rsidRDefault="003C6CDE" w:rsidP="00C85074">
            <w:pPr>
              <w:pStyle w:val="ListParagraph"/>
              <w:widowControl/>
              <w:numPr>
                <w:ilvl w:val="0"/>
                <w:numId w:val="6"/>
              </w:numPr>
              <w:autoSpaceDE/>
              <w:autoSpaceDN/>
              <w:adjustRightInd/>
              <w:rPr>
                <w:rFonts w:ascii="Calibri" w:hAnsi="Calibri"/>
                <w:szCs w:val="20"/>
              </w:rPr>
            </w:pPr>
            <w:r w:rsidRPr="00F15F35">
              <w:rPr>
                <w:rFonts w:ascii="Calibri" w:hAnsi="Calibri"/>
              </w:rPr>
              <w:t>Participar en los talleres regionales de evaluación para proporcionar recomendaciones y organizar actos paralelos (Siguiente taller previsto para 2016)</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13.1</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538135"/>
                <w:szCs w:val="20"/>
              </w:rPr>
            </w:pPr>
            <w:r>
              <w:rPr>
                <w:rFonts w:ascii="Calibri" w:hAnsi="Calibri"/>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538135"/>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GTE</w:t>
            </w:r>
          </w:p>
          <w:p w:rsidR="003C6CDE" w:rsidRPr="00F15F35" w:rsidRDefault="003C6CDE" w:rsidP="00A8700A">
            <w:pPr>
              <w:widowControl/>
              <w:autoSpaceDE/>
              <w:autoSpaceDN/>
              <w:adjustRightInd/>
              <w:spacing w:line="276" w:lineRule="auto"/>
              <w:jc w:val="center"/>
              <w:rPr>
                <w:rFonts w:ascii="Calibri" w:hAnsi="Calibri"/>
                <w:color w:val="538135"/>
                <w:szCs w:val="20"/>
              </w:rPr>
            </w:pPr>
            <w:r w:rsidRPr="00F15F35">
              <w:rPr>
                <w:rFonts w:ascii="Calibri" w:hAnsi="Calibri"/>
              </w:rPr>
              <w:t>SEC</w:t>
            </w:r>
          </w:p>
        </w:tc>
        <w:tc>
          <w:tcPr>
            <w:tcW w:w="1980" w:type="dxa"/>
            <w:vAlign w:val="center"/>
          </w:tcPr>
          <w:p w:rsidR="003C6CDE" w:rsidRPr="00F15F35" w:rsidRDefault="004C6309"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 1</w:t>
            </w:r>
            <w:r>
              <w:rPr>
                <w:rFonts w:ascii="Calibri" w:hAnsi="Calibri"/>
              </w:rPr>
              <w:t xml:space="preserve"> + </w:t>
            </w:r>
            <w:r w:rsidRPr="00F15F35">
              <w:rPr>
                <w:rFonts w:ascii="Calibri" w:hAnsi="Calibri"/>
              </w:rPr>
              <w:t>Es necesario recaudar fondos</w:t>
            </w:r>
          </w:p>
        </w:tc>
      </w:tr>
      <w:tr w:rsidR="003C6CDE" w:rsidRPr="00EA106E" w:rsidTr="00C85074">
        <w:trPr>
          <w:cantSplit/>
          <w:trHeight w:val="424"/>
        </w:trPr>
        <w:tc>
          <w:tcPr>
            <w:tcW w:w="14490" w:type="dxa"/>
            <w:gridSpan w:val="7"/>
            <w:shd w:val="clear" w:color="auto" w:fill="DEEAF6"/>
            <w:vAlign w:val="center"/>
          </w:tcPr>
          <w:p w:rsidR="003C6CDE" w:rsidRPr="00F15F35" w:rsidRDefault="003C6CDE" w:rsidP="00C85074">
            <w:pPr>
              <w:widowControl/>
              <w:autoSpaceDE/>
              <w:autoSpaceDN/>
              <w:adjustRightInd/>
              <w:spacing w:line="276" w:lineRule="auto"/>
              <w:jc w:val="center"/>
              <w:rPr>
                <w:rFonts w:ascii="Calibri" w:hAnsi="Calibri"/>
                <w:b/>
                <w:szCs w:val="20"/>
              </w:rPr>
            </w:pPr>
            <w:r w:rsidRPr="00F15F35">
              <w:rPr>
                <w:rFonts w:ascii="Calibri" w:hAnsi="Calibri"/>
                <w:b/>
              </w:rPr>
              <w:t>Gestión de la Secretaría</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Administración del presupuesto para el MdE</w:t>
            </w:r>
          </w:p>
          <w:p w:rsidR="003C6CDE" w:rsidRPr="00F15F35" w:rsidRDefault="003C6CDE"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4C6309"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 xml:space="preserve">Preparar informes financieros para </w:t>
            </w:r>
            <w:r w:rsidR="004C6309">
              <w:rPr>
                <w:rFonts w:ascii="Calibri" w:hAnsi="Calibri"/>
              </w:rPr>
              <w:t>información de los Signatarios e informes sobre proyectos para donantes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Anualmente</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4C6309"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7851FF" w:rsidRPr="00EA106E" w:rsidTr="00C85074">
        <w:trPr>
          <w:cantSplit/>
          <w:trHeight w:val="424"/>
        </w:trPr>
        <w:tc>
          <w:tcPr>
            <w:tcW w:w="990" w:type="dxa"/>
            <w:shd w:val="clear" w:color="000000" w:fill="FFFFFF"/>
            <w:vAlign w:val="center"/>
          </w:tcPr>
          <w:p w:rsidR="007851FF" w:rsidRPr="00F15F35" w:rsidRDefault="007851FF"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7851FF" w:rsidRPr="00F15F35" w:rsidRDefault="007851FF" w:rsidP="00C85074">
            <w:pPr>
              <w:widowControl/>
              <w:autoSpaceDE/>
              <w:autoSpaceDN/>
              <w:adjustRightInd/>
              <w:rPr>
                <w:rFonts w:ascii="Calibri" w:hAnsi="Calibri"/>
              </w:rPr>
            </w:pPr>
            <w:r>
              <w:rPr>
                <w:rFonts w:ascii="Calibri" w:hAnsi="Calibri"/>
              </w:rPr>
              <w:t>R</w:t>
            </w:r>
            <w:r w:rsidRPr="00F15F35">
              <w:rPr>
                <w:rFonts w:ascii="Calibri" w:hAnsi="Calibri"/>
              </w:rPr>
              <w:t>ecaudación de recursos financieros</w:t>
            </w:r>
          </w:p>
        </w:tc>
        <w:tc>
          <w:tcPr>
            <w:tcW w:w="1260" w:type="dxa"/>
            <w:vAlign w:val="center"/>
          </w:tcPr>
          <w:p w:rsidR="007851FF" w:rsidRPr="00F15F35" w:rsidRDefault="007851FF" w:rsidP="00A8700A">
            <w:pPr>
              <w:widowControl/>
              <w:autoSpaceDE/>
              <w:autoSpaceDN/>
              <w:adjustRightInd/>
              <w:jc w:val="center"/>
              <w:rPr>
                <w:rFonts w:ascii="Calibri" w:hAnsi="Calibri"/>
                <w:color w:val="00000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7851FF" w:rsidRDefault="007851FF" w:rsidP="00A8700A">
            <w:pPr>
              <w:widowControl/>
              <w:autoSpaceDE/>
              <w:autoSpaceDN/>
              <w:adjustRightInd/>
              <w:jc w:val="center"/>
              <w:rPr>
                <w:rFonts w:ascii="Calibri" w:hAnsi="Calibri"/>
                <w:color w:val="000000"/>
              </w:rPr>
            </w:pPr>
            <w:r>
              <w:rPr>
                <w:rFonts w:ascii="Calibri" w:hAnsi="Calibri"/>
                <w:color w:val="000000"/>
              </w:rPr>
              <w:t>Básica</w:t>
            </w:r>
          </w:p>
        </w:tc>
        <w:tc>
          <w:tcPr>
            <w:tcW w:w="1170" w:type="dxa"/>
            <w:tcMar>
              <w:top w:w="57" w:type="dxa"/>
              <w:left w:w="57" w:type="dxa"/>
              <w:bottom w:w="57" w:type="dxa"/>
              <w:right w:w="57" w:type="dxa"/>
            </w:tcMar>
            <w:vAlign w:val="center"/>
          </w:tcPr>
          <w:p w:rsidR="007851FF" w:rsidRPr="00F15F35" w:rsidRDefault="007851FF" w:rsidP="00A8700A">
            <w:pPr>
              <w:widowControl/>
              <w:autoSpaceDE/>
              <w:autoSpaceDN/>
              <w:adjustRightInd/>
              <w:jc w:val="center"/>
              <w:rPr>
                <w:rFonts w:ascii="Calibri" w:hAnsi="Calibri"/>
                <w:color w:val="00000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7851FF" w:rsidRPr="00F15F35" w:rsidRDefault="007851FF" w:rsidP="00A8700A">
            <w:pPr>
              <w:widowControl/>
              <w:autoSpaceDE/>
              <w:autoSpaceDN/>
              <w:adjustRightInd/>
              <w:spacing w:line="276" w:lineRule="auto"/>
              <w:jc w:val="center"/>
              <w:rPr>
                <w:rFonts w:ascii="Calibri" w:hAnsi="Calibri"/>
                <w:szCs w:val="20"/>
              </w:rPr>
            </w:pPr>
            <w:r w:rsidRPr="00F15F35">
              <w:rPr>
                <w:rFonts w:ascii="Calibri" w:hAnsi="Calibri"/>
              </w:rPr>
              <w:t>SEC</w:t>
            </w:r>
          </w:p>
          <w:p w:rsidR="007851FF" w:rsidRPr="00F15F35" w:rsidRDefault="007851FF" w:rsidP="00A8700A">
            <w:pPr>
              <w:widowControl/>
              <w:autoSpaceDE/>
              <w:autoSpaceDN/>
              <w:adjustRightInd/>
              <w:spacing w:line="276" w:lineRule="auto"/>
              <w:jc w:val="center"/>
              <w:rPr>
                <w:rFonts w:ascii="Calibri" w:hAnsi="Calibri"/>
              </w:rPr>
            </w:pPr>
          </w:p>
        </w:tc>
        <w:tc>
          <w:tcPr>
            <w:tcW w:w="1980" w:type="dxa"/>
            <w:vAlign w:val="center"/>
          </w:tcPr>
          <w:p w:rsidR="007851FF" w:rsidRDefault="007851FF" w:rsidP="00A8700A">
            <w:pPr>
              <w:widowControl/>
              <w:autoSpaceDE/>
              <w:autoSpaceDN/>
              <w:adjustRightInd/>
              <w:spacing w:line="276" w:lineRule="auto"/>
              <w:jc w:val="center"/>
              <w:rPr>
                <w:rFonts w:ascii="Calibri" w:hAnsi="Calibri"/>
              </w:rPr>
            </w:pPr>
            <w:r>
              <w:rPr>
                <w:rFonts w:ascii="Calibri" w:hAnsi="Calibri"/>
              </w:rPr>
              <w:t>H</w:t>
            </w:r>
            <w:r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Mantener y actualizar el sitio web del MdE sobre los tiburones, según sea necesario</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Consultor</w:t>
            </w:r>
          </w:p>
        </w:tc>
        <w:tc>
          <w:tcPr>
            <w:tcW w:w="1980" w:type="dxa"/>
            <w:vAlign w:val="center"/>
          </w:tcPr>
          <w:p w:rsidR="003C6CDE" w:rsidRPr="00F15F35" w:rsidRDefault="007851FF"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Publicar artículos y comunicados de prensa relacionados con la conservación de los tiburones con el apoyo del Equipo conjunto de comunicaciones de la CMS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7851FF"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Preparar hojas informativas sobre temas de conservación y especies de tiburones pertinentes</w:t>
            </w:r>
          </w:p>
          <w:p w:rsidR="003C6CDE" w:rsidRPr="00F15F35" w:rsidRDefault="003C6CDE" w:rsidP="00C85074">
            <w:pPr>
              <w:pStyle w:val="ListParagraph"/>
              <w:widowControl/>
              <w:numPr>
                <w:ilvl w:val="0"/>
                <w:numId w:val="13"/>
              </w:numPr>
              <w:autoSpaceDE/>
              <w:autoSpaceDN/>
              <w:adjustRightInd/>
              <w:rPr>
                <w:rFonts w:ascii="Calibri" w:hAnsi="Calibri"/>
                <w:szCs w:val="20"/>
              </w:rPr>
            </w:pPr>
            <w:r w:rsidRPr="00F15F35">
              <w:rPr>
                <w:rFonts w:ascii="Calibri" w:hAnsi="Calibri"/>
              </w:rPr>
              <w:t>Pesca incidental</w:t>
            </w:r>
          </w:p>
          <w:p w:rsidR="003C6CDE" w:rsidRPr="00F15F35" w:rsidRDefault="003C6CDE" w:rsidP="00C85074">
            <w:pPr>
              <w:pStyle w:val="ListParagraph"/>
              <w:widowControl/>
              <w:numPr>
                <w:ilvl w:val="0"/>
                <w:numId w:val="13"/>
              </w:numPr>
              <w:autoSpaceDE/>
              <w:autoSpaceDN/>
              <w:adjustRightInd/>
              <w:rPr>
                <w:rFonts w:ascii="Calibri" w:hAnsi="Calibri"/>
                <w:szCs w:val="20"/>
              </w:rPr>
            </w:pPr>
            <w:r w:rsidRPr="00F15F35">
              <w:rPr>
                <w:rFonts w:ascii="Calibri" w:hAnsi="Calibri"/>
              </w:rPr>
              <w:t>Pesca excesiva</w:t>
            </w:r>
          </w:p>
          <w:p w:rsidR="003C6CDE" w:rsidRPr="00F15F35" w:rsidRDefault="003C6CDE" w:rsidP="00C85074">
            <w:pPr>
              <w:pStyle w:val="ListParagraph"/>
              <w:widowControl/>
              <w:numPr>
                <w:ilvl w:val="0"/>
                <w:numId w:val="13"/>
              </w:numPr>
              <w:autoSpaceDE/>
              <w:autoSpaceDN/>
              <w:adjustRightInd/>
              <w:rPr>
                <w:rFonts w:ascii="Calibri" w:hAnsi="Calibri"/>
                <w:szCs w:val="20"/>
              </w:rPr>
            </w:pPr>
            <w:r w:rsidRPr="00F15F35">
              <w:rPr>
                <w:rFonts w:ascii="Calibri" w:hAnsi="Calibri"/>
              </w:rPr>
              <w:t xml:space="preserve">Planes de acción </w:t>
            </w:r>
            <w:r>
              <w:rPr>
                <w:rFonts w:ascii="Calibri" w:hAnsi="Calibri"/>
              </w:rPr>
              <w:t>para las</w:t>
            </w:r>
            <w:r w:rsidRPr="00F15F35">
              <w:rPr>
                <w:rFonts w:ascii="Calibri" w:hAnsi="Calibri"/>
              </w:rPr>
              <w:t xml:space="preserve"> especies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7851FF"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C85074" w:rsidRPr="00C85074" w:rsidRDefault="003C6CDE" w:rsidP="00C85074">
            <w:pPr>
              <w:widowControl/>
              <w:autoSpaceDE/>
              <w:autoSpaceDN/>
              <w:adjustRightInd/>
              <w:rPr>
                <w:rFonts w:ascii="Calibri" w:hAnsi="Calibri"/>
              </w:rPr>
            </w:pPr>
            <w:r w:rsidRPr="00F15F35">
              <w:rPr>
                <w:rFonts w:ascii="Calibri" w:hAnsi="Calibri"/>
              </w:rPr>
              <w:t>Utilizar medios de comunicación sociales para aumentar la visibilidad del MdE a nivel mundial con el apoyo del Equipo conjunto de comunicaciones de la CMS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7851FF"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Default="003C6CDE" w:rsidP="00C85074">
            <w:pPr>
              <w:widowControl/>
              <w:autoSpaceDE/>
              <w:autoSpaceDN/>
              <w:adjustRightInd/>
              <w:rPr>
                <w:rFonts w:ascii="Calibri" w:hAnsi="Calibri"/>
              </w:rPr>
            </w:pPr>
            <w:r w:rsidRPr="00F15F35">
              <w:rPr>
                <w:rFonts w:ascii="Calibri" w:hAnsi="Calibri"/>
              </w:rPr>
              <w:t>Preparar publicaciones utilizando estudios (p. ej., legislación nacional, prioridades según las especies)</w:t>
            </w:r>
          </w:p>
          <w:p w:rsidR="00C85074" w:rsidRPr="00F15F35" w:rsidRDefault="00C85074"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p w:rsidR="003C6CDE" w:rsidRPr="00F15F35" w:rsidRDefault="003C6CDE" w:rsidP="00A8700A">
            <w:pPr>
              <w:widowControl/>
              <w:autoSpaceDE/>
              <w:autoSpaceDN/>
              <w:adjustRightInd/>
              <w:jc w:val="center"/>
              <w:rPr>
                <w:rFonts w:ascii="Calibri" w:hAnsi="Calibri"/>
                <w:color w:val="000000"/>
                <w:szCs w:val="20"/>
              </w:rPr>
            </w:pP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A8700A" w:rsidP="00A8700A">
            <w:pPr>
              <w:widowControl/>
              <w:autoSpaceDE/>
              <w:autoSpaceDN/>
              <w:adjustRightInd/>
              <w:jc w:val="center"/>
              <w:rPr>
                <w:rFonts w:ascii="Calibri" w:hAnsi="Calibri"/>
                <w:color w:val="538135"/>
                <w:szCs w:val="20"/>
              </w:rPr>
            </w:pPr>
            <w:r>
              <w:rPr>
                <w:rFonts w:ascii="Calibri" w:hAnsi="Calibri"/>
              </w:rPr>
              <w:t>H</w:t>
            </w:r>
            <w:r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Default="003C6CDE" w:rsidP="00C85074">
            <w:pPr>
              <w:widowControl/>
              <w:autoSpaceDE/>
              <w:autoSpaceDN/>
              <w:adjustRightInd/>
              <w:rPr>
                <w:rFonts w:ascii="Calibri" w:hAnsi="Calibri"/>
              </w:rPr>
            </w:pPr>
            <w:r w:rsidRPr="00F15F35">
              <w:rPr>
                <w:rFonts w:ascii="Calibri" w:hAnsi="Calibri"/>
              </w:rPr>
              <w:t>Ampliar en la medida de lo posible las actividades de comunicación y sensibilización relacionadas con el MdE sobre los tiburones en consonancia con la Estrategia de comunicación para las especies migratorias (en preparación)</w:t>
            </w:r>
          </w:p>
          <w:p w:rsidR="00C85074" w:rsidRPr="00F15F35" w:rsidRDefault="00C85074"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p w:rsidR="003C6CDE" w:rsidRPr="00F15F35" w:rsidRDefault="003C6CDE" w:rsidP="00A8700A">
            <w:pPr>
              <w:widowControl/>
              <w:autoSpaceDE/>
              <w:autoSpaceDN/>
              <w:adjustRightInd/>
              <w:jc w:val="center"/>
              <w:rPr>
                <w:rFonts w:ascii="Calibri" w:hAnsi="Calibri"/>
                <w:color w:val="000000"/>
                <w:szCs w:val="20"/>
              </w:rPr>
            </w:pP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color w:val="538135"/>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Default="003C6CDE" w:rsidP="00C85074">
            <w:pPr>
              <w:widowControl/>
              <w:autoSpaceDE/>
              <w:autoSpaceDN/>
              <w:adjustRightInd/>
              <w:rPr>
                <w:rFonts w:ascii="Calibri" w:hAnsi="Calibri"/>
              </w:rPr>
            </w:pPr>
            <w:r w:rsidRPr="00F15F35">
              <w:rPr>
                <w:rFonts w:ascii="Calibri" w:hAnsi="Calibri"/>
              </w:rPr>
              <w:t>Recopilar información, examinar datos, mantener el enlace con las partes interesadas y proporcionar información a los Signatarios sobre la aplicación y el funcionamiento del MdE</w:t>
            </w:r>
          </w:p>
          <w:p w:rsidR="00C85074" w:rsidRPr="00F15F35" w:rsidRDefault="00C85074"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p w:rsidR="003C6CDE" w:rsidRPr="00F15F35" w:rsidRDefault="003C6CDE" w:rsidP="00A8700A">
            <w:pPr>
              <w:widowControl/>
              <w:autoSpaceDE/>
              <w:autoSpaceDN/>
              <w:adjustRightInd/>
              <w:jc w:val="center"/>
              <w:rPr>
                <w:rFonts w:ascii="Calibri" w:hAnsi="Calibri"/>
                <w:color w:val="000000"/>
                <w:szCs w:val="20"/>
              </w:rPr>
            </w:pP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7851FF"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C85074" w:rsidRDefault="003C6CDE" w:rsidP="00C85074">
            <w:pPr>
              <w:widowControl/>
              <w:autoSpaceDE/>
              <w:autoSpaceDN/>
              <w:adjustRightInd/>
              <w:rPr>
                <w:rFonts w:ascii="Calibri" w:hAnsi="Calibri"/>
              </w:rPr>
            </w:pPr>
            <w:r w:rsidRPr="00F15F35">
              <w:rPr>
                <w:rFonts w:ascii="Calibri" w:hAnsi="Calibri"/>
              </w:rPr>
              <w:t>Facilitar y fomentar el intercambio regular de información y las actividades de cooperación entre</w:t>
            </w:r>
            <w:r w:rsidR="00C85074">
              <w:rPr>
                <w:rFonts w:ascii="Calibri" w:hAnsi="Calibri"/>
              </w:rPr>
              <w:t>:</w:t>
            </w:r>
          </w:p>
          <w:p w:rsidR="00C85074" w:rsidRPr="00C85074" w:rsidRDefault="00C85074" w:rsidP="00C85074">
            <w:pPr>
              <w:widowControl/>
              <w:autoSpaceDE/>
              <w:autoSpaceDN/>
              <w:adjustRightInd/>
              <w:rPr>
                <w:rFonts w:ascii="Calibri" w:hAnsi="Calibri"/>
              </w:rPr>
            </w:pPr>
          </w:p>
          <w:p w:rsidR="003C6CDE" w:rsidRPr="00F15F35" w:rsidRDefault="003C6CDE" w:rsidP="00C85074">
            <w:pPr>
              <w:pStyle w:val="ListParagraph"/>
              <w:widowControl/>
              <w:numPr>
                <w:ilvl w:val="0"/>
                <w:numId w:val="9"/>
              </w:numPr>
              <w:autoSpaceDE/>
              <w:autoSpaceDN/>
              <w:adjustRightInd/>
              <w:rPr>
                <w:rFonts w:ascii="Calibri" w:hAnsi="Calibri"/>
                <w:szCs w:val="20"/>
              </w:rPr>
            </w:pPr>
            <w:r w:rsidRPr="00F15F35">
              <w:rPr>
                <w:rFonts w:ascii="Calibri" w:hAnsi="Calibri"/>
              </w:rPr>
              <w:t>la comunidad de investigación y conservación de los tiburones</w:t>
            </w:r>
          </w:p>
          <w:p w:rsidR="003C6CDE" w:rsidRPr="00F15F35" w:rsidRDefault="003C6CDE" w:rsidP="00C85074">
            <w:pPr>
              <w:pStyle w:val="ListParagraph"/>
              <w:widowControl/>
              <w:numPr>
                <w:ilvl w:val="0"/>
                <w:numId w:val="9"/>
              </w:numPr>
              <w:autoSpaceDE/>
              <w:autoSpaceDN/>
              <w:adjustRightInd/>
              <w:rPr>
                <w:rFonts w:ascii="Calibri" w:hAnsi="Calibri"/>
                <w:szCs w:val="20"/>
              </w:rPr>
            </w:pPr>
            <w:r w:rsidRPr="00F15F35">
              <w:rPr>
                <w:rFonts w:ascii="Calibri" w:hAnsi="Calibri"/>
              </w:rPr>
              <w:t>las partes interesadas de todos los Estados del área de distribución</w:t>
            </w:r>
          </w:p>
          <w:p w:rsidR="003C6CDE" w:rsidRPr="00F15F35" w:rsidRDefault="003C6CDE" w:rsidP="00C85074">
            <w:pPr>
              <w:pStyle w:val="ListParagraph"/>
              <w:widowControl/>
              <w:numPr>
                <w:ilvl w:val="0"/>
                <w:numId w:val="9"/>
              </w:numPr>
              <w:autoSpaceDE/>
              <w:autoSpaceDN/>
              <w:adjustRightInd/>
              <w:rPr>
                <w:rFonts w:ascii="Calibri" w:hAnsi="Calibri"/>
                <w:szCs w:val="20"/>
              </w:rPr>
            </w:pPr>
            <w:r>
              <w:rPr>
                <w:rFonts w:ascii="Calibri" w:hAnsi="Calibri"/>
              </w:rPr>
              <w:t>los p</w:t>
            </w:r>
            <w:r w:rsidRPr="00F15F35">
              <w:rPr>
                <w:rFonts w:ascii="Calibri" w:hAnsi="Calibri"/>
              </w:rPr>
              <w:t>untos focales</w:t>
            </w:r>
          </w:p>
          <w:p w:rsidR="003C6CDE" w:rsidRPr="00C85074" w:rsidRDefault="003C6CDE" w:rsidP="00C85074">
            <w:pPr>
              <w:pStyle w:val="ListParagraph"/>
              <w:widowControl/>
              <w:numPr>
                <w:ilvl w:val="0"/>
                <w:numId w:val="9"/>
              </w:numPr>
              <w:autoSpaceDE/>
              <w:autoSpaceDN/>
              <w:adjustRightInd/>
              <w:rPr>
                <w:rFonts w:ascii="Calibri" w:hAnsi="Calibri"/>
                <w:szCs w:val="20"/>
              </w:rPr>
            </w:pPr>
            <w:r>
              <w:rPr>
                <w:rFonts w:ascii="Calibri" w:hAnsi="Calibri"/>
              </w:rPr>
              <w:t xml:space="preserve">el </w:t>
            </w:r>
            <w:r w:rsidRPr="00F15F35">
              <w:rPr>
                <w:rFonts w:ascii="Calibri" w:hAnsi="Calibri"/>
              </w:rPr>
              <w:t>Comité Asesor</w:t>
            </w:r>
          </w:p>
          <w:p w:rsidR="00C85074" w:rsidRPr="00F15F35" w:rsidRDefault="00C85074" w:rsidP="00C85074">
            <w:pPr>
              <w:pStyle w:val="ListParagraph"/>
              <w:widowControl/>
              <w:autoSpaceDE/>
              <w:autoSpaceDN/>
              <w:adjustRightInd/>
              <w:ind w:left="765"/>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p w:rsidR="003C6CDE" w:rsidRPr="00F15F35" w:rsidRDefault="003C6CDE" w:rsidP="00A8700A">
            <w:pPr>
              <w:widowControl/>
              <w:autoSpaceDE/>
              <w:autoSpaceDN/>
              <w:adjustRightInd/>
              <w:jc w:val="center"/>
              <w:rPr>
                <w:rFonts w:ascii="Calibri" w:hAnsi="Calibri"/>
                <w:color w:val="000000"/>
                <w:szCs w:val="20"/>
              </w:rPr>
            </w:pP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7851FF"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Representar al MdE en las reuniones de otros acuerdos intergubernamentales (p. ej., la CITES, la UICN y la FAO) según proceda para facilitar el logro de los objetivos del MdE</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GTE</w:t>
            </w:r>
          </w:p>
          <w:p w:rsidR="003C6CDE" w:rsidRPr="00F15F35" w:rsidRDefault="003C6CDE" w:rsidP="00A8700A">
            <w:pPr>
              <w:widowControl/>
              <w:autoSpaceDE/>
              <w:autoSpaceDN/>
              <w:adjustRightInd/>
              <w:spacing w:line="276" w:lineRule="auto"/>
              <w:jc w:val="center"/>
              <w:rPr>
                <w:rFonts w:ascii="Calibri" w:hAnsi="Calibri"/>
                <w:szCs w:val="20"/>
              </w:rPr>
            </w:pPr>
            <w:r>
              <w:rPr>
                <w:rFonts w:ascii="Calibri" w:hAnsi="Calibri"/>
              </w:rPr>
              <w:t>GTCI</w:t>
            </w:r>
          </w:p>
        </w:tc>
        <w:tc>
          <w:tcPr>
            <w:tcW w:w="1980" w:type="dxa"/>
            <w:vAlign w:val="center"/>
          </w:tcPr>
          <w:p w:rsidR="003C6CDE" w:rsidRPr="00F15F35" w:rsidRDefault="007851FF"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 1 y 2</w:t>
            </w:r>
            <w:r>
              <w:rPr>
                <w:rFonts w:ascii="Calibri" w:hAnsi="Calibri"/>
              </w:rPr>
              <w:t xml:space="preserve"> + </w:t>
            </w: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b/>
                <w:szCs w:val="20"/>
              </w:rPr>
            </w:pPr>
            <w:r w:rsidRPr="00F15F35">
              <w:rPr>
                <w:rFonts w:ascii="Calibri" w:hAnsi="Calibri"/>
              </w:rPr>
              <w:t xml:space="preserve">Actualizar y mantener la base de datos de </w:t>
            </w:r>
            <w:r>
              <w:rPr>
                <w:rFonts w:ascii="Calibri" w:hAnsi="Calibri"/>
              </w:rPr>
              <w:t xml:space="preserve">los </w:t>
            </w:r>
            <w:r w:rsidRPr="00F15F35">
              <w:rPr>
                <w:rFonts w:ascii="Calibri" w:hAnsi="Calibri"/>
              </w:rPr>
              <w:t>contactos</w:t>
            </w:r>
          </w:p>
          <w:p w:rsidR="003C6CDE" w:rsidRPr="00F15F35" w:rsidRDefault="003C6CDE"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7851FF"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Default="003C6CDE" w:rsidP="00C85074">
            <w:pPr>
              <w:widowControl/>
              <w:autoSpaceDE/>
              <w:autoSpaceDN/>
              <w:adjustRightInd/>
              <w:rPr>
                <w:rFonts w:ascii="Calibri" w:hAnsi="Calibri"/>
              </w:rPr>
            </w:pPr>
            <w:r w:rsidRPr="00F15F35">
              <w:rPr>
                <w:rFonts w:ascii="Calibri" w:hAnsi="Calibri"/>
              </w:rPr>
              <w:t>Preparar el informe de las actividades de la Secretaría para las reuniones del CA y del MdE</w:t>
            </w:r>
          </w:p>
          <w:p w:rsidR="00C85074" w:rsidRPr="00F15F35" w:rsidRDefault="00C85074"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7851FF"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Default="003C6CDE" w:rsidP="00C85074">
            <w:pPr>
              <w:widowControl/>
              <w:autoSpaceDE/>
              <w:autoSpaceDN/>
              <w:adjustRightInd/>
              <w:rPr>
                <w:rFonts w:ascii="Calibri" w:hAnsi="Calibri"/>
              </w:rPr>
            </w:pPr>
            <w:r w:rsidRPr="00F15F35">
              <w:rPr>
                <w:rFonts w:ascii="Calibri" w:hAnsi="Calibri"/>
              </w:rPr>
              <w:t xml:space="preserve">Contratar y administrar el personal </w:t>
            </w:r>
            <w:r w:rsidR="007851FF">
              <w:rPr>
                <w:rFonts w:ascii="Calibri" w:hAnsi="Calibri"/>
              </w:rPr>
              <w:t xml:space="preserve">y pasantes </w:t>
            </w:r>
            <w:r w:rsidRPr="00F15F35">
              <w:rPr>
                <w:rFonts w:ascii="Calibri" w:hAnsi="Calibri"/>
              </w:rPr>
              <w:t>de la Secretaría</w:t>
            </w:r>
          </w:p>
          <w:p w:rsidR="00C85074" w:rsidRPr="00F15F35" w:rsidRDefault="00C85074"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7851FF"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14490" w:type="dxa"/>
            <w:gridSpan w:val="7"/>
            <w:shd w:val="clear" w:color="auto" w:fill="DEEAF6"/>
            <w:vAlign w:val="center"/>
          </w:tcPr>
          <w:p w:rsidR="003C6CDE" w:rsidRPr="00F15F35" w:rsidRDefault="003C6CDE" w:rsidP="00C85074">
            <w:pPr>
              <w:widowControl/>
              <w:autoSpaceDE/>
              <w:autoSpaceDN/>
              <w:adjustRightInd/>
              <w:spacing w:line="276" w:lineRule="auto"/>
              <w:jc w:val="center"/>
              <w:rPr>
                <w:rFonts w:ascii="Calibri" w:hAnsi="Calibri"/>
                <w:color w:val="538135"/>
                <w:szCs w:val="20"/>
              </w:rPr>
            </w:pPr>
            <w:r w:rsidRPr="00F15F35">
              <w:rPr>
                <w:rFonts w:ascii="Calibri" w:hAnsi="Calibri"/>
                <w:b/>
              </w:rPr>
              <w:t>Apoyo para las reuniones (MOS, CA y GT)</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Realizar los trámites de reuniones para la tercera Reunión de los Signatarios (MOS3), incluida la determinación del lugar de celebración, el enlace con el gobierno anfitrión y la organización de los contratos.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Final de 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p>
        </w:tc>
        <w:tc>
          <w:tcPr>
            <w:tcW w:w="1980" w:type="dxa"/>
            <w:vAlign w:val="center"/>
          </w:tcPr>
          <w:p w:rsidR="003C6CDE" w:rsidRPr="00F15F35" w:rsidRDefault="0041514D" w:rsidP="00A8700A">
            <w:pPr>
              <w:widowControl/>
              <w:autoSpaceDE/>
              <w:autoSpaceDN/>
              <w:adjustRightInd/>
              <w:spacing w:line="276" w:lineRule="auto"/>
              <w:jc w:val="center"/>
              <w:rPr>
                <w:rFonts w:ascii="Calibri" w:hAnsi="Calibri"/>
                <w:color w:val="538135"/>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Realizar los trámites de reuniones para la segunda Reunión del Comité Asesor (AC2), incluida la determinación del lugar de celebración y la organización de los contratos.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Mediados de 2017</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p>
        </w:tc>
        <w:tc>
          <w:tcPr>
            <w:tcW w:w="1980" w:type="dxa"/>
            <w:vAlign w:val="center"/>
          </w:tcPr>
          <w:p w:rsidR="003C6CDE" w:rsidRPr="00F15F35" w:rsidRDefault="0041514D" w:rsidP="00A8700A">
            <w:pPr>
              <w:widowControl/>
              <w:autoSpaceDE/>
              <w:autoSpaceDN/>
              <w:adjustRightInd/>
              <w:spacing w:line="276" w:lineRule="auto"/>
              <w:jc w:val="center"/>
              <w:rPr>
                <w:rFonts w:ascii="Calibri" w:hAnsi="Calibri"/>
                <w:color w:val="538135"/>
                <w:szCs w:val="20"/>
              </w:rPr>
            </w:pPr>
            <w:r>
              <w:rPr>
                <w:rFonts w:ascii="Calibri" w:hAnsi="Calibri"/>
              </w:rPr>
              <w:t>Hi</w:t>
            </w:r>
            <w:r w:rsidR="003C6CDE" w:rsidRPr="00F15F35">
              <w:rPr>
                <w:rFonts w:ascii="Calibri" w:hAnsi="Calibri"/>
              </w:rPr>
              <w:t>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Realizar los trámites de reuniones para la tercera Reunión del Comité Asesor (AC3), incluida la determinación del lugar de celebración y la organización de los contratos.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Mediados de 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p>
        </w:tc>
        <w:tc>
          <w:tcPr>
            <w:tcW w:w="1980" w:type="dxa"/>
            <w:vAlign w:val="center"/>
          </w:tcPr>
          <w:p w:rsidR="003C6CDE" w:rsidRPr="00F15F35" w:rsidRDefault="0041514D" w:rsidP="00A8700A">
            <w:pPr>
              <w:widowControl/>
              <w:autoSpaceDE/>
              <w:autoSpaceDN/>
              <w:adjustRightInd/>
              <w:spacing w:line="276" w:lineRule="auto"/>
              <w:jc w:val="center"/>
              <w:rPr>
                <w:rFonts w:ascii="Calibri" w:hAnsi="Calibri"/>
                <w:color w:val="538135"/>
                <w:szCs w:val="20"/>
              </w:rPr>
            </w:pPr>
            <w:r>
              <w:rPr>
                <w:rFonts w:ascii="Calibri" w:hAnsi="Calibri"/>
              </w:rPr>
              <w:t>Hipótesis presupuestaria</w:t>
            </w:r>
            <w:r w:rsidRPr="00F15F35">
              <w:rPr>
                <w:rFonts w:ascii="Calibri" w:hAnsi="Calibri"/>
              </w:rPr>
              <w:t xml:space="preserve"> 1</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Realizar los trámites de reuniones para las reuniones de los grupos de trabajo, incluida la determinación del lugar de celebración y la organización de los contratos.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p>
        </w:tc>
        <w:tc>
          <w:tcPr>
            <w:tcW w:w="1980" w:type="dxa"/>
            <w:vAlign w:val="center"/>
          </w:tcPr>
          <w:p w:rsidR="003C6CDE" w:rsidRPr="00F15F35" w:rsidRDefault="0041514D" w:rsidP="00A8700A">
            <w:pPr>
              <w:widowControl/>
              <w:autoSpaceDE/>
              <w:autoSpaceDN/>
              <w:adjustRightInd/>
              <w:spacing w:line="276" w:lineRule="auto"/>
              <w:jc w:val="center"/>
              <w:rPr>
                <w:rFonts w:ascii="Calibri" w:hAnsi="Calibri"/>
                <w:color w:val="538135"/>
                <w:szCs w:val="20"/>
              </w:rPr>
            </w:pPr>
            <w:r>
              <w:rPr>
                <w:rFonts w:ascii="Calibri" w:hAnsi="Calibri"/>
              </w:rPr>
              <w:t>Hipótesis presupuestaria</w:t>
            </w:r>
            <w:r w:rsidRPr="00F15F35">
              <w:rPr>
                <w:rFonts w:ascii="Calibri" w:hAnsi="Calibri"/>
              </w:rPr>
              <w:t xml:space="preserve"> 1</w:t>
            </w:r>
            <w:r>
              <w:rPr>
                <w:rFonts w:ascii="Calibri" w:hAnsi="Calibri"/>
              </w:rPr>
              <w:t xml:space="preserve"> +</w:t>
            </w:r>
            <w:r w:rsidR="007A4EE9">
              <w:rPr>
                <w:rFonts w:ascii="Calibri" w:hAnsi="Calibri"/>
              </w:rPr>
              <w:t xml:space="preserve"> </w:t>
            </w:r>
            <w:r w:rsidR="007A4EE9"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Coordinar, redactar y preparar los documentos de las reuniones, incluida la publicación en Internet de los mismos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Consultor</w:t>
            </w:r>
          </w:p>
        </w:tc>
        <w:tc>
          <w:tcPr>
            <w:tcW w:w="1980" w:type="dxa"/>
            <w:vAlign w:val="center"/>
          </w:tcPr>
          <w:p w:rsidR="003C6CDE" w:rsidRPr="00F15F35" w:rsidRDefault="007A4EE9"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Coordinar y preparar las traducciones a los otros idiomas (</w:t>
            </w:r>
            <w:r w:rsidR="0041514D">
              <w:rPr>
                <w:rFonts w:ascii="Calibri" w:hAnsi="Calibri"/>
              </w:rPr>
              <w:t xml:space="preserve">inglés, </w:t>
            </w:r>
            <w:r w:rsidRPr="00F15F35">
              <w:rPr>
                <w:rFonts w:ascii="Calibri" w:hAnsi="Calibri"/>
              </w:rPr>
              <w:t>francés</w:t>
            </w:r>
            <w:r w:rsidR="0041514D">
              <w:rPr>
                <w:rFonts w:ascii="Calibri" w:hAnsi="Calibri"/>
              </w:rPr>
              <w:t xml:space="preserve"> y </w:t>
            </w:r>
            <w:r w:rsidR="0041514D" w:rsidRPr="00F15F35">
              <w:rPr>
                <w:rFonts w:ascii="Calibri" w:hAnsi="Calibri"/>
              </w:rPr>
              <w:t>español</w:t>
            </w:r>
            <w:r w:rsidRPr="00F15F35">
              <w:rPr>
                <w:rFonts w:ascii="Calibri" w:hAnsi="Calibri"/>
              </w:rPr>
              <w:t>)</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p>
        </w:tc>
        <w:tc>
          <w:tcPr>
            <w:tcW w:w="1980" w:type="dxa"/>
            <w:vAlign w:val="center"/>
          </w:tcPr>
          <w:p w:rsidR="003C6CDE" w:rsidRPr="00F15F35" w:rsidRDefault="007A4EE9"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Favorecer y organizar la asistencia y los viajes de los delegados y expertos subvencionados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p>
        </w:tc>
        <w:tc>
          <w:tcPr>
            <w:tcW w:w="1980" w:type="dxa"/>
            <w:vAlign w:val="center"/>
          </w:tcPr>
          <w:p w:rsidR="003C6CDE" w:rsidRPr="00F15F35" w:rsidRDefault="00A25005" w:rsidP="00A8700A">
            <w:pPr>
              <w:widowControl/>
              <w:autoSpaceDE/>
              <w:autoSpaceDN/>
              <w:adjustRightInd/>
              <w:spacing w:line="276" w:lineRule="auto"/>
              <w:jc w:val="center"/>
              <w:rPr>
                <w:rFonts w:ascii="Calibri" w:hAnsi="Calibri"/>
                <w:color w:val="538135"/>
                <w:szCs w:val="20"/>
              </w:rPr>
            </w:pPr>
            <w:r>
              <w:rPr>
                <w:rFonts w:ascii="Calibri" w:hAnsi="Calibri"/>
              </w:rPr>
              <w:t>Hipótesis presupuestarias 1 o</w:t>
            </w:r>
            <w:r w:rsidRPr="00F15F35">
              <w:rPr>
                <w:rFonts w:ascii="Calibri" w:hAnsi="Calibri"/>
              </w:rPr>
              <w:t xml:space="preserve"> 2</w:t>
            </w:r>
            <w:r>
              <w:rPr>
                <w:rFonts w:ascii="Calibri" w:hAnsi="Calibri"/>
              </w:rPr>
              <w:t xml:space="preserve"> + </w:t>
            </w: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Default="003C6CDE" w:rsidP="00C85074">
            <w:pPr>
              <w:widowControl/>
              <w:autoSpaceDE/>
              <w:autoSpaceDN/>
              <w:adjustRightInd/>
              <w:rPr>
                <w:rFonts w:ascii="Calibri" w:hAnsi="Calibri"/>
              </w:rPr>
            </w:pPr>
            <w:r w:rsidRPr="00F15F35">
              <w:rPr>
                <w:rFonts w:ascii="Calibri" w:hAnsi="Calibri"/>
              </w:rPr>
              <w:t>Organizar y preparar los trabajos relacionados con los medios de comunicación y la prensa en colaboración con el Equipo conjunto de comunicaciones de la CMS</w:t>
            </w:r>
          </w:p>
          <w:p w:rsidR="00C85074" w:rsidRPr="00F15F35" w:rsidRDefault="00C85074" w:rsidP="00C85074">
            <w:pPr>
              <w:widowControl/>
              <w:autoSpaceDE/>
              <w:autoSpaceDN/>
              <w:adjustRightInd/>
              <w:rPr>
                <w:rFonts w:ascii="Calibri" w:hAnsi="Calibri"/>
                <w:szCs w:val="20"/>
              </w:rPr>
            </w:pP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A25005"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Preparar informes de las reuniones y distribuirlos a los Signatarios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A25005"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14490" w:type="dxa"/>
            <w:gridSpan w:val="7"/>
            <w:shd w:val="clear" w:color="auto" w:fill="DEEAF6"/>
            <w:vAlign w:val="center"/>
          </w:tcPr>
          <w:p w:rsidR="003C6CDE" w:rsidRPr="00F15F35" w:rsidRDefault="003C6CDE" w:rsidP="00C85074">
            <w:pPr>
              <w:widowControl/>
              <w:autoSpaceDE/>
              <w:autoSpaceDN/>
              <w:adjustRightInd/>
              <w:spacing w:line="276" w:lineRule="auto"/>
              <w:jc w:val="center"/>
              <w:rPr>
                <w:rFonts w:ascii="Calibri" w:hAnsi="Calibri"/>
                <w:color w:val="538135"/>
                <w:szCs w:val="20"/>
              </w:rPr>
            </w:pPr>
            <w:r w:rsidRPr="00F15F35">
              <w:rPr>
                <w:rFonts w:ascii="Calibri" w:hAnsi="Calibri"/>
                <w:b/>
              </w:rPr>
              <w:t xml:space="preserve">Apoyo </w:t>
            </w:r>
            <w:r>
              <w:rPr>
                <w:rFonts w:ascii="Calibri" w:hAnsi="Calibri"/>
                <w:b/>
              </w:rPr>
              <w:t>al</w:t>
            </w:r>
            <w:r w:rsidRPr="00F15F35">
              <w:rPr>
                <w:rFonts w:ascii="Calibri" w:hAnsi="Calibri"/>
                <w:b/>
              </w:rPr>
              <w:t xml:space="preserve"> Comité Asesor</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Prestar asistencia al Presidente del Comité Asesor según sea necesario para facilitar la labor del Comité</w:t>
            </w:r>
          </w:p>
          <w:p w:rsidR="003C6CDE" w:rsidRPr="00F15F35" w:rsidRDefault="003C6CDE" w:rsidP="00C85074">
            <w:pPr>
              <w:widowControl/>
              <w:autoSpaceDE/>
              <w:autoSpaceDN/>
              <w:adjustRightInd/>
              <w:rPr>
                <w:rFonts w:ascii="Calibri" w:hAnsi="Calibri"/>
                <w:szCs w:val="20"/>
              </w:rPr>
            </w:pPr>
          </w:p>
        </w:tc>
        <w:tc>
          <w:tcPr>
            <w:tcW w:w="1260" w:type="dxa"/>
            <w:vAlign w:val="center"/>
          </w:tcPr>
          <w:p w:rsidR="003C6CDE" w:rsidRPr="00F15F35" w:rsidRDefault="00A57DFC"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A57DFC"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Prestar asistencia al Comité Asesor en la preparación de documentos de la reunión</w:t>
            </w:r>
          </w:p>
        </w:tc>
        <w:tc>
          <w:tcPr>
            <w:tcW w:w="1260" w:type="dxa"/>
            <w:vAlign w:val="center"/>
          </w:tcPr>
          <w:p w:rsidR="003C6CDE" w:rsidRPr="00F15F35" w:rsidRDefault="00A57DFC"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A57DFC"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Prestar asistencia a los coordinadores y los presidentes del Grupo de trabajo sobre las especies y el Grupo de trabajo sobre capturas incidentales, según sea necesario, para facilitar los trabajos</w:t>
            </w:r>
          </w:p>
        </w:tc>
        <w:tc>
          <w:tcPr>
            <w:tcW w:w="1260" w:type="dxa"/>
            <w:vAlign w:val="center"/>
          </w:tcPr>
          <w:p w:rsidR="003C6CDE" w:rsidRPr="00F15F35" w:rsidRDefault="00A57DFC"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Consultor</w:t>
            </w:r>
          </w:p>
        </w:tc>
        <w:tc>
          <w:tcPr>
            <w:tcW w:w="1980" w:type="dxa"/>
            <w:vAlign w:val="center"/>
          </w:tcPr>
          <w:p w:rsidR="003C6CDE" w:rsidRPr="00F15F35" w:rsidRDefault="00A57DFC"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Elaborar y mantener la lista de expertos pertinentes para el MdE sobre los tiburones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PC 2.5</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A57DFC"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14490" w:type="dxa"/>
            <w:gridSpan w:val="7"/>
            <w:shd w:val="clear" w:color="auto" w:fill="DEEAF6"/>
            <w:vAlign w:val="center"/>
          </w:tcPr>
          <w:p w:rsidR="003C6CDE" w:rsidRPr="00F15F35" w:rsidRDefault="003C6CDE" w:rsidP="00C85074">
            <w:pPr>
              <w:widowControl/>
              <w:autoSpaceDE/>
              <w:autoSpaceDN/>
              <w:adjustRightInd/>
              <w:spacing w:line="276" w:lineRule="auto"/>
              <w:jc w:val="center"/>
              <w:rPr>
                <w:rFonts w:ascii="Calibri" w:hAnsi="Calibri"/>
                <w:color w:val="538135"/>
                <w:szCs w:val="20"/>
              </w:rPr>
            </w:pPr>
            <w:r w:rsidRPr="00F15F35">
              <w:rPr>
                <w:rFonts w:ascii="Calibri" w:hAnsi="Calibri"/>
                <w:b/>
              </w:rPr>
              <w:t>Aplicación del MdE</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 xml:space="preserve">Promover y coordinar las actividades del Programa de Trabajo y </w:t>
            </w:r>
            <w:r>
              <w:rPr>
                <w:rFonts w:ascii="Calibri" w:hAnsi="Calibri"/>
              </w:rPr>
              <w:t>d</w:t>
            </w:r>
            <w:r w:rsidRPr="00F15F35">
              <w:rPr>
                <w:rFonts w:ascii="Calibri" w:hAnsi="Calibri"/>
              </w:rPr>
              <w:t>el Plan de Conservación</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tc>
        <w:tc>
          <w:tcPr>
            <w:tcW w:w="1980" w:type="dxa"/>
            <w:vAlign w:val="center"/>
          </w:tcPr>
          <w:p w:rsidR="003C6CDE" w:rsidRPr="00F15F35" w:rsidRDefault="00A57DFC"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Realizar una encuesta sobre la legislación nacional para hacer frente a las deficiencias en la aplicación, informar a los signatarios y seguir de cerca la aplicación del Plan de Conservación</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7.1</w:t>
            </w:r>
          </w:p>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A57DFC"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A57DFC"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Mantener el enlace con los Estados del área de distribución no signatarios para proporcionarles la información necesaria sobre la adhesión al MdE y facilitar dicha adhesión</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tc>
        <w:tc>
          <w:tcPr>
            <w:tcW w:w="1980" w:type="dxa"/>
            <w:vAlign w:val="center"/>
          </w:tcPr>
          <w:p w:rsidR="003C6CDE" w:rsidRPr="00F15F35" w:rsidRDefault="00A57DFC"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A57DFC" w:rsidP="00C85074">
            <w:pPr>
              <w:widowControl/>
              <w:autoSpaceDE/>
              <w:autoSpaceDN/>
              <w:adjustRightInd/>
              <w:rPr>
                <w:rFonts w:ascii="Calibri" w:hAnsi="Calibri"/>
                <w:szCs w:val="20"/>
              </w:rPr>
            </w:pPr>
            <w:r>
              <w:rPr>
                <w:rFonts w:ascii="Calibri" w:hAnsi="Calibri"/>
              </w:rPr>
              <w:t>Centrar</w:t>
            </w:r>
            <w:r w:rsidR="003C6CDE" w:rsidRPr="00F15F35">
              <w:rPr>
                <w:rFonts w:ascii="Calibri" w:hAnsi="Calibri"/>
              </w:rPr>
              <w:t xml:space="preserve"> las actividades de difusión en las siguientes regiones prioritarias: </w:t>
            </w:r>
            <w:r w:rsidR="003C6CDE" w:rsidRPr="00F15F35">
              <w:rPr>
                <w:rFonts w:ascii="Calibri" w:hAnsi="Calibri"/>
                <w:b/>
              </w:rPr>
              <w:t>Asia sudoriental</w:t>
            </w:r>
            <w:r w:rsidR="003C6CDE" w:rsidRPr="00F15F35">
              <w:rPr>
                <w:rFonts w:ascii="Calibri" w:hAnsi="Calibri"/>
              </w:rPr>
              <w:t>, América del Sur y el Caribe y África occidental</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tc>
        <w:tc>
          <w:tcPr>
            <w:tcW w:w="1980" w:type="dxa"/>
            <w:vAlign w:val="center"/>
          </w:tcPr>
          <w:p w:rsidR="003C6CDE" w:rsidRPr="00F15F35" w:rsidRDefault="00A57DFC" w:rsidP="00A8700A">
            <w:pPr>
              <w:widowControl/>
              <w:autoSpaceDE/>
              <w:autoSpaceDN/>
              <w:adjustRightInd/>
              <w:spacing w:line="276" w:lineRule="auto"/>
              <w:jc w:val="center"/>
              <w:rPr>
                <w:rFonts w:ascii="Calibri" w:hAnsi="Calibri"/>
                <w:color w:val="538135"/>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C85074" w:rsidRPr="00F15F35" w:rsidRDefault="003C6CDE" w:rsidP="00C85074">
            <w:pPr>
              <w:widowControl/>
              <w:autoSpaceDE/>
              <w:autoSpaceDN/>
              <w:adjustRightInd/>
              <w:rPr>
                <w:rFonts w:ascii="Calibri" w:hAnsi="Calibri"/>
                <w:szCs w:val="20"/>
              </w:rPr>
            </w:pPr>
            <w:r w:rsidRPr="00F15F35">
              <w:rPr>
                <w:rFonts w:ascii="Calibri" w:hAnsi="Calibri"/>
              </w:rPr>
              <w:t>Utilizar otras reuniones y talleres de la CMS para promover la adhesión al MdE</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CMS</w:t>
            </w:r>
          </w:p>
        </w:tc>
        <w:tc>
          <w:tcPr>
            <w:tcW w:w="1980" w:type="dxa"/>
            <w:vAlign w:val="center"/>
          </w:tcPr>
          <w:p w:rsidR="003C6CDE" w:rsidRPr="00F15F35" w:rsidRDefault="00A57DFC" w:rsidP="00A8700A">
            <w:pPr>
              <w:widowControl/>
              <w:autoSpaceDE/>
              <w:autoSpaceDN/>
              <w:adjustRightInd/>
              <w:spacing w:line="276" w:lineRule="auto"/>
              <w:jc w:val="center"/>
              <w:rPr>
                <w:rFonts w:ascii="Calibri" w:hAnsi="Calibri"/>
                <w:color w:val="538135"/>
                <w:szCs w:val="20"/>
              </w:rPr>
            </w:pPr>
            <w:r>
              <w:rPr>
                <w:rFonts w:ascii="Calibri" w:hAnsi="Calibri"/>
              </w:rPr>
              <w:t>Hi</w:t>
            </w:r>
            <w:r w:rsidRPr="00F15F35">
              <w:rPr>
                <w:rFonts w:ascii="Calibri" w:hAnsi="Calibri"/>
              </w:rPr>
              <w:t>pótesis presupuestarias 1 y 2</w:t>
            </w:r>
          </w:p>
        </w:tc>
      </w:tr>
      <w:tr w:rsidR="003C6CDE" w:rsidRPr="00EA106E" w:rsidTr="00C85074">
        <w:trPr>
          <w:cantSplit/>
          <w:trHeight w:val="424"/>
        </w:trPr>
        <w:tc>
          <w:tcPr>
            <w:tcW w:w="14490" w:type="dxa"/>
            <w:gridSpan w:val="7"/>
            <w:shd w:val="clear" w:color="auto" w:fill="DEEAF6"/>
            <w:vAlign w:val="center"/>
          </w:tcPr>
          <w:p w:rsidR="003C6CDE" w:rsidRPr="00F15F35" w:rsidRDefault="003C6CDE" w:rsidP="00C85074">
            <w:pPr>
              <w:widowControl/>
              <w:autoSpaceDE/>
              <w:autoSpaceDN/>
              <w:adjustRightInd/>
              <w:spacing w:line="276" w:lineRule="auto"/>
              <w:jc w:val="center"/>
              <w:rPr>
                <w:rFonts w:ascii="Calibri" w:hAnsi="Calibri"/>
                <w:b/>
                <w:color w:val="538135"/>
                <w:szCs w:val="20"/>
              </w:rPr>
            </w:pPr>
            <w:r w:rsidRPr="00F15F35">
              <w:rPr>
                <w:rFonts w:ascii="Calibri" w:hAnsi="Calibri"/>
                <w:b/>
              </w:rPr>
              <w:t>Creación de capacidad</w:t>
            </w:r>
          </w:p>
        </w:tc>
      </w:tr>
      <w:tr w:rsidR="00A57DFC" w:rsidRPr="00EA106E" w:rsidTr="00C85074">
        <w:trPr>
          <w:cantSplit/>
          <w:trHeight w:val="424"/>
        </w:trPr>
        <w:tc>
          <w:tcPr>
            <w:tcW w:w="990" w:type="dxa"/>
            <w:shd w:val="clear" w:color="000000" w:fill="FFFFFF"/>
            <w:vAlign w:val="center"/>
          </w:tcPr>
          <w:p w:rsidR="00A57DFC" w:rsidRPr="00F15F35" w:rsidRDefault="00A57DFC"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A57DFC" w:rsidRDefault="00A57DFC" w:rsidP="00C85074">
            <w:pPr>
              <w:widowControl/>
              <w:autoSpaceDE/>
              <w:autoSpaceDN/>
              <w:adjustRightInd/>
              <w:rPr>
                <w:rFonts w:ascii="Calibri" w:hAnsi="Calibri"/>
              </w:rPr>
            </w:pPr>
            <w:r>
              <w:rPr>
                <w:rFonts w:ascii="Calibri" w:hAnsi="Calibri"/>
              </w:rPr>
              <w:t>Identificar y examinar deficiencias en capacidad y necesidad de formación de los Signatarios</w:t>
            </w:r>
          </w:p>
          <w:p w:rsidR="00A57DFC" w:rsidRPr="00F15F35" w:rsidRDefault="00A57DFC" w:rsidP="00C85074">
            <w:pPr>
              <w:widowControl/>
              <w:autoSpaceDE/>
              <w:autoSpaceDN/>
              <w:adjustRightInd/>
              <w:rPr>
                <w:rFonts w:ascii="Calibri" w:hAnsi="Calibri"/>
              </w:rPr>
            </w:pPr>
          </w:p>
        </w:tc>
        <w:tc>
          <w:tcPr>
            <w:tcW w:w="1260" w:type="dxa"/>
            <w:vAlign w:val="center"/>
          </w:tcPr>
          <w:p w:rsidR="00A57DFC" w:rsidRDefault="00A57DFC" w:rsidP="00A8700A">
            <w:pPr>
              <w:widowControl/>
              <w:autoSpaceDE/>
              <w:autoSpaceDN/>
              <w:adjustRightInd/>
              <w:jc w:val="center"/>
              <w:rPr>
                <w:rFonts w:ascii="Calibri" w:hAnsi="Calibri"/>
                <w:color w:val="000000"/>
                <w:szCs w:val="20"/>
              </w:rPr>
            </w:pPr>
            <w:r>
              <w:rPr>
                <w:rFonts w:ascii="Calibri" w:hAnsi="Calibri"/>
                <w:color w:val="000000"/>
                <w:szCs w:val="20"/>
              </w:rPr>
              <w:t>CP 1.1</w:t>
            </w:r>
          </w:p>
          <w:p w:rsidR="00A57DFC" w:rsidRDefault="00A57DFC"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A57DFC" w:rsidRDefault="00A57DFC" w:rsidP="00A8700A">
            <w:pPr>
              <w:widowControl/>
              <w:autoSpaceDE/>
              <w:autoSpaceDN/>
              <w:adjustRightInd/>
              <w:jc w:val="center"/>
              <w:rPr>
                <w:rFonts w:ascii="Calibri" w:hAnsi="Calibri"/>
                <w:color w:val="000000"/>
              </w:rPr>
            </w:pPr>
            <w:r>
              <w:rPr>
                <w:rFonts w:ascii="Calibri" w:hAnsi="Calibri"/>
                <w:color w:val="000000"/>
              </w:rPr>
              <w:t>Alta</w:t>
            </w:r>
          </w:p>
        </w:tc>
        <w:tc>
          <w:tcPr>
            <w:tcW w:w="1170" w:type="dxa"/>
            <w:tcMar>
              <w:top w:w="57" w:type="dxa"/>
              <w:left w:w="57" w:type="dxa"/>
              <w:bottom w:w="57" w:type="dxa"/>
              <w:right w:w="57" w:type="dxa"/>
            </w:tcMar>
            <w:vAlign w:val="center"/>
          </w:tcPr>
          <w:p w:rsidR="00A57DFC" w:rsidRPr="00F15F35" w:rsidRDefault="008A0860" w:rsidP="00A8700A">
            <w:pPr>
              <w:widowControl/>
              <w:autoSpaceDE/>
              <w:autoSpaceDN/>
              <w:adjustRightInd/>
              <w:jc w:val="center"/>
              <w:rPr>
                <w:rFonts w:ascii="Calibri" w:hAnsi="Calibri"/>
                <w:color w:val="000000"/>
                <w:szCs w:val="20"/>
              </w:rPr>
            </w:pPr>
            <w:r w:rsidRPr="00F15F35">
              <w:rPr>
                <w:rFonts w:ascii="Calibri" w:hAnsi="Calibri"/>
                <w:color w:val="000000"/>
              </w:rPr>
              <w:t>2016-2018</w:t>
            </w:r>
            <w:bookmarkStart w:id="0" w:name="_GoBack"/>
            <w:bookmarkEnd w:id="0"/>
          </w:p>
        </w:tc>
        <w:tc>
          <w:tcPr>
            <w:tcW w:w="1440" w:type="dxa"/>
            <w:tcMar>
              <w:top w:w="57" w:type="dxa"/>
              <w:left w:w="57" w:type="dxa"/>
              <w:bottom w:w="57" w:type="dxa"/>
              <w:right w:w="57" w:type="dxa"/>
            </w:tcMar>
            <w:vAlign w:val="center"/>
          </w:tcPr>
          <w:p w:rsidR="00A57DFC" w:rsidRPr="00F15F35" w:rsidRDefault="00A57DFC" w:rsidP="00A8700A">
            <w:pPr>
              <w:widowControl/>
              <w:autoSpaceDE/>
              <w:autoSpaceDN/>
              <w:adjustRightInd/>
              <w:spacing w:line="276" w:lineRule="auto"/>
              <w:jc w:val="center"/>
              <w:rPr>
                <w:rFonts w:ascii="Calibri" w:hAnsi="Calibri"/>
                <w:szCs w:val="20"/>
              </w:rPr>
            </w:pPr>
            <w:r w:rsidRPr="00F15F35">
              <w:rPr>
                <w:rFonts w:ascii="Calibri" w:hAnsi="Calibri"/>
              </w:rPr>
              <w:t>CA</w:t>
            </w:r>
          </w:p>
          <w:p w:rsidR="00A57DFC" w:rsidRPr="00F15F35" w:rsidRDefault="00A57DFC" w:rsidP="00A8700A">
            <w:pPr>
              <w:widowControl/>
              <w:autoSpaceDE/>
              <w:autoSpaceDN/>
              <w:adjustRightInd/>
              <w:spacing w:line="276" w:lineRule="auto"/>
              <w:jc w:val="center"/>
              <w:rPr>
                <w:rFonts w:ascii="Calibri" w:hAnsi="Calibri"/>
                <w:szCs w:val="20"/>
              </w:rPr>
            </w:pPr>
            <w:r w:rsidRPr="00F15F35">
              <w:rPr>
                <w:rFonts w:ascii="Calibri" w:hAnsi="Calibri"/>
              </w:rPr>
              <w:t>SEC</w:t>
            </w:r>
          </w:p>
          <w:p w:rsidR="00A57DFC" w:rsidRPr="00F15F35" w:rsidRDefault="00A57DFC" w:rsidP="00A8700A">
            <w:pPr>
              <w:widowControl/>
              <w:autoSpaceDE/>
              <w:autoSpaceDN/>
              <w:adjustRightInd/>
              <w:spacing w:line="276" w:lineRule="auto"/>
              <w:jc w:val="center"/>
              <w:rPr>
                <w:rFonts w:ascii="Calibri" w:hAnsi="Calibri"/>
              </w:rPr>
            </w:pPr>
            <w:r w:rsidRPr="00F15F35">
              <w:rPr>
                <w:rFonts w:ascii="Calibri" w:hAnsi="Calibri"/>
              </w:rPr>
              <w:t>Socios colaboradores</w:t>
            </w:r>
          </w:p>
        </w:tc>
        <w:tc>
          <w:tcPr>
            <w:tcW w:w="1980" w:type="dxa"/>
            <w:vAlign w:val="center"/>
          </w:tcPr>
          <w:p w:rsidR="00A57DFC" w:rsidRPr="00F15F35" w:rsidRDefault="00A57DFC" w:rsidP="00A8700A">
            <w:pPr>
              <w:widowControl/>
              <w:autoSpaceDE/>
              <w:autoSpaceDN/>
              <w:adjustRightInd/>
              <w:spacing w:line="276" w:lineRule="auto"/>
              <w:jc w:val="center"/>
              <w:rPr>
                <w:rFonts w:ascii="Calibri" w:hAnsi="Calibri"/>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A57DFC" w:rsidP="00C85074">
            <w:pPr>
              <w:widowControl/>
              <w:autoSpaceDE/>
              <w:autoSpaceDN/>
              <w:adjustRightInd/>
              <w:rPr>
                <w:rFonts w:ascii="Calibri" w:hAnsi="Calibri"/>
                <w:szCs w:val="20"/>
              </w:rPr>
            </w:pPr>
            <w:r>
              <w:rPr>
                <w:rFonts w:ascii="Calibri" w:hAnsi="Calibri"/>
              </w:rPr>
              <w:t>P</w:t>
            </w:r>
            <w:r w:rsidR="003C6CDE" w:rsidRPr="00F15F35">
              <w:rPr>
                <w:rFonts w:ascii="Calibri" w:hAnsi="Calibri"/>
              </w:rPr>
              <w:t>restar asistencia a los Signatarios en relación con la aplic</w:t>
            </w:r>
            <w:r>
              <w:rPr>
                <w:rFonts w:ascii="Calibri" w:hAnsi="Calibri"/>
              </w:rPr>
              <w:t>ación del Plan de Conservación:</w:t>
            </w:r>
          </w:p>
          <w:p w:rsidR="003C6CDE" w:rsidRPr="00D90216" w:rsidRDefault="003C6CDE" w:rsidP="00C85074">
            <w:pPr>
              <w:pStyle w:val="ListParagraph"/>
              <w:widowControl/>
              <w:numPr>
                <w:ilvl w:val="0"/>
                <w:numId w:val="17"/>
              </w:numPr>
              <w:autoSpaceDE/>
              <w:autoSpaceDN/>
              <w:adjustRightInd/>
              <w:rPr>
                <w:rFonts w:ascii="Calibri" w:hAnsi="Calibri"/>
                <w:szCs w:val="20"/>
              </w:rPr>
            </w:pPr>
            <w:r w:rsidRPr="00F15F35">
              <w:rPr>
                <w:rFonts w:ascii="Calibri" w:hAnsi="Calibri"/>
              </w:rPr>
              <w:t>Prestar apoyo a los Emiratos Árabes Unidos (y otros Signatarios a petición) en relación con la elaboración de su Plan de acción nacional para la conservación y gestión de los tiburones (PAN sobre los tiburones)</w:t>
            </w:r>
          </w:p>
        </w:tc>
        <w:tc>
          <w:tcPr>
            <w:tcW w:w="1260" w:type="dxa"/>
            <w:vAlign w:val="center"/>
          </w:tcPr>
          <w:p w:rsidR="003C6CDE" w:rsidRDefault="00A57DFC" w:rsidP="00A8700A">
            <w:pPr>
              <w:widowControl/>
              <w:autoSpaceDE/>
              <w:autoSpaceDN/>
              <w:adjustRightInd/>
              <w:jc w:val="center"/>
              <w:rPr>
                <w:rFonts w:ascii="Calibri" w:hAnsi="Calibri"/>
                <w:color w:val="000000"/>
                <w:szCs w:val="20"/>
              </w:rPr>
            </w:pPr>
            <w:r>
              <w:rPr>
                <w:rFonts w:ascii="Calibri" w:hAnsi="Calibri"/>
                <w:color w:val="000000"/>
                <w:szCs w:val="20"/>
              </w:rPr>
              <w:t>CP 6.2</w:t>
            </w:r>
          </w:p>
          <w:p w:rsidR="00A57DFC" w:rsidRPr="00F15F35" w:rsidRDefault="00A57DFC"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Alta</w:t>
            </w:r>
          </w:p>
        </w:tc>
        <w:tc>
          <w:tcPr>
            <w:tcW w:w="1170" w:type="dxa"/>
            <w:tcMar>
              <w:top w:w="57" w:type="dxa"/>
              <w:left w:w="57" w:type="dxa"/>
              <w:bottom w:w="57" w:type="dxa"/>
              <w:right w:w="57" w:type="dxa"/>
            </w:tcMar>
            <w:vAlign w:val="center"/>
          </w:tcPr>
          <w:p w:rsidR="003C6CDE" w:rsidRPr="00F15F35" w:rsidRDefault="00A57DFC" w:rsidP="00A8700A">
            <w:pPr>
              <w:widowControl/>
              <w:autoSpaceDE/>
              <w:autoSpaceDN/>
              <w:adjustRightInd/>
              <w:jc w:val="center"/>
              <w:rPr>
                <w:rFonts w:ascii="Calibri" w:hAnsi="Calibri"/>
                <w:color w:val="000000"/>
                <w:szCs w:val="20"/>
              </w:rPr>
            </w:pPr>
            <w:r>
              <w:rPr>
                <w:rFonts w:ascii="Calibri" w:hAnsi="Calibri"/>
                <w:color w:val="000000"/>
                <w:szCs w:val="20"/>
              </w:rPr>
              <w:t xml:space="preserve">2016 y </w:t>
            </w:r>
            <w:r>
              <w:rPr>
                <w:rFonts w:ascii="Calibri" w:hAnsi="Calibri"/>
                <w:color w:val="000000"/>
              </w:rPr>
              <w:t>s</w:t>
            </w:r>
            <w:r w:rsidRPr="00F15F35">
              <w:rPr>
                <w:rFonts w:ascii="Calibri" w:hAnsi="Calibri"/>
                <w:color w:val="000000"/>
              </w:rPr>
              <w:t>egún sea necesario</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D90216" w:rsidRDefault="003C6CDE" w:rsidP="00C85074">
            <w:pPr>
              <w:widowControl/>
              <w:autoSpaceDE/>
              <w:autoSpaceDN/>
              <w:adjustRightInd/>
              <w:rPr>
                <w:rFonts w:ascii="Calibri" w:hAnsi="Calibri"/>
                <w:b/>
                <w:color w:val="000000"/>
                <w:szCs w:val="20"/>
              </w:rPr>
            </w:pPr>
            <w:r w:rsidRPr="00F15F35">
              <w:rPr>
                <w:rFonts w:ascii="Calibri" w:hAnsi="Calibri"/>
              </w:rPr>
              <w:t>Compilar manuales y elaborar materiales de capacitación adaptados para los instructores, principalmente autoridades administrativas y científicas.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PC 3.2</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Según sea necesario</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Pr>
                <w:rFonts w:ascii="Calibri" w:hAnsi="Calibri"/>
              </w:rPr>
              <w:t>GTCI</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9E3DC2" w:rsidP="00C85074">
            <w:pPr>
              <w:widowControl/>
              <w:autoSpaceDE/>
              <w:autoSpaceDN/>
              <w:adjustRightInd/>
              <w:rPr>
                <w:rFonts w:ascii="Calibri" w:hAnsi="Calibri"/>
                <w:szCs w:val="20"/>
              </w:rPr>
            </w:pPr>
            <w:r>
              <w:rPr>
                <w:rFonts w:ascii="Calibri" w:hAnsi="Calibri"/>
              </w:rPr>
              <w:t xml:space="preserve">Contribuir a </w:t>
            </w:r>
            <w:r w:rsidR="003C6CDE" w:rsidRPr="00F15F35">
              <w:rPr>
                <w:rFonts w:ascii="Calibri" w:hAnsi="Calibri"/>
              </w:rPr>
              <w:t xml:space="preserve"> talleres conjuntos de creación de capacidad con la CMS y los socios colaboradores en África, Asia, Oceanía, América del Sur y Central y el Caribe y contribuir a los mismos, atendiendo las solicitudes de las regiones</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SIG</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Sensibilizar a los interesados acerca de las listas de especies de la CMS-y la CITES.</w:t>
            </w:r>
          </w:p>
        </w:tc>
        <w:tc>
          <w:tcPr>
            <w:tcW w:w="1260" w:type="dxa"/>
            <w:vAlign w:val="center"/>
          </w:tcPr>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1.6</w:t>
            </w:r>
          </w:p>
          <w:p w:rsidR="003C6CDE" w:rsidRPr="00F15F35" w:rsidRDefault="003C6CDE" w:rsidP="00A8700A">
            <w:pPr>
              <w:widowControl/>
              <w:autoSpaceDE/>
              <w:autoSpaceDN/>
              <w:adjustRightInd/>
              <w:jc w:val="center"/>
              <w:rPr>
                <w:rFonts w:ascii="Calibri" w:hAnsi="Calibri"/>
                <w:szCs w:val="20"/>
              </w:rPr>
            </w:pPr>
            <w:r w:rsidRPr="00F15F35">
              <w:rPr>
                <w:rFonts w:ascii="Calibri" w:hAnsi="Calibri"/>
              </w:rPr>
              <w:t>PC 5.2</w:t>
            </w:r>
          </w:p>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rPr>
              <w:t>PC 6.3</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Alta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SIG</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tc>
        <w:tc>
          <w:tcPr>
            <w:tcW w:w="1980" w:type="dxa"/>
            <w:vAlign w:val="center"/>
          </w:tcPr>
          <w:p w:rsidR="003C6CDE" w:rsidRPr="00F15F35" w:rsidRDefault="00A57DFC" w:rsidP="00A8700A">
            <w:pPr>
              <w:widowControl/>
              <w:autoSpaceDE/>
              <w:autoSpaceDN/>
              <w:adjustRightInd/>
              <w:spacing w:line="276" w:lineRule="auto"/>
              <w:jc w:val="center"/>
              <w:rPr>
                <w:rFonts w:ascii="Calibri" w:hAnsi="Calibri"/>
                <w:szCs w:val="20"/>
              </w:rPr>
            </w:pPr>
            <w:r>
              <w:rPr>
                <w:rFonts w:ascii="Calibri" w:hAnsi="Calibri"/>
              </w:rPr>
              <w:t>H</w:t>
            </w:r>
            <w:r w:rsidR="003C6CDE" w:rsidRPr="00F15F35">
              <w:rPr>
                <w:rFonts w:ascii="Calibri" w:hAnsi="Calibri"/>
              </w:rPr>
              <w:t>ipótesis presupuestarias 1 y 2</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Elaborar cursos en línea masivos y abiertos (CEMA) sobre la conservación y gestión de los tiburones y sus hábitats</w:t>
            </w:r>
          </w:p>
          <w:p w:rsidR="003C6CDE" w:rsidRPr="00F15F35" w:rsidRDefault="003C6CDE" w:rsidP="00C85074">
            <w:pPr>
              <w:widowControl/>
              <w:autoSpaceDE/>
              <w:autoSpaceDN/>
              <w:adjustRightInd/>
              <w:rPr>
                <w:rFonts w:ascii="Calibri" w:hAnsi="Calibri"/>
                <w:szCs w:val="20"/>
              </w:rPr>
            </w:pPr>
            <w:r w:rsidRPr="00F15F35">
              <w:rPr>
                <w:rFonts w:ascii="Calibri" w:hAnsi="Calibri"/>
              </w:rPr>
              <w:t>Cooperar con los órganos científicos pertinentes (universidades, científicos, instituciones internacionales)</w:t>
            </w:r>
          </w:p>
        </w:tc>
        <w:tc>
          <w:tcPr>
            <w:tcW w:w="1260" w:type="dxa"/>
            <w:vAlign w:val="center"/>
          </w:tcPr>
          <w:p w:rsidR="003C6CDE" w:rsidRPr="00F15F35" w:rsidRDefault="009E3DC2" w:rsidP="00A8700A">
            <w:pPr>
              <w:widowControl/>
              <w:autoSpaceDE/>
              <w:autoSpaceDN/>
              <w:adjustRightInd/>
              <w:jc w:val="center"/>
              <w:rPr>
                <w:rFonts w:ascii="Calibri" w:hAnsi="Calibri"/>
                <w:color w:val="000000"/>
                <w:szCs w:val="20"/>
              </w:rPr>
            </w:pPr>
            <w:r>
              <w:rPr>
                <w:rFonts w:ascii="Calibri" w:hAnsi="Calibri"/>
                <w:color w:val="000000"/>
                <w:szCs w:val="20"/>
              </w:rPr>
              <w:t>CP 12</w:t>
            </w:r>
          </w:p>
        </w:tc>
        <w:tc>
          <w:tcPr>
            <w:tcW w:w="990" w:type="dxa"/>
            <w:tcMar>
              <w:top w:w="57" w:type="dxa"/>
              <w:left w:w="57" w:type="dxa"/>
              <w:bottom w:w="57" w:type="dxa"/>
              <w:right w:w="57" w:type="dxa"/>
            </w:tcMar>
            <w:vAlign w:val="center"/>
          </w:tcPr>
          <w:p w:rsidR="003C6CDE" w:rsidRPr="00F15F35" w:rsidRDefault="009E3DC2" w:rsidP="00A8700A">
            <w:pPr>
              <w:widowControl/>
              <w:autoSpaceDE/>
              <w:autoSpaceDN/>
              <w:adjustRightInd/>
              <w:jc w:val="center"/>
              <w:rPr>
                <w:rFonts w:ascii="Calibri" w:hAnsi="Calibri"/>
                <w:color w:val="000000"/>
                <w:szCs w:val="20"/>
              </w:rPr>
            </w:pPr>
            <w:r>
              <w:rPr>
                <w:rFonts w:ascii="Calibri" w:hAnsi="Calibri"/>
                <w:color w:val="000000"/>
              </w:rPr>
              <w:t>Media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2017</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CA</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Socios colaboradores</w:t>
            </w:r>
          </w:p>
          <w:p w:rsidR="003C6CDE" w:rsidRPr="00F15F35" w:rsidRDefault="003C6CDE" w:rsidP="00A8700A">
            <w:pPr>
              <w:widowControl/>
              <w:autoSpaceDE/>
              <w:autoSpaceDN/>
              <w:adjustRightInd/>
              <w:spacing w:line="276" w:lineRule="auto"/>
              <w:jc w:val="center"/>
              <w:rPr>
                <w:rFonts w:ascii="Calibri" w:hAnsi="Calibri"/>
                <w:szCs w:val="20"/>
              </w:rPr>
            </w:pP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Default="003C6CDE" w:rsidP="00C85074">
            <w:pPr>
              <w:widowControl/>
              <w:autoSpaceDE/>
              <w:autoSpaceDN/>
              <w:adjustRightInd/>
              <w:rPr>
                <w:rFonts w:ascii="Calibri" w:hAnsi="Calibri"/>
              </w:rPr>
            </w:pPr>
            <w:r w:rsidRPr="00F15F35">
              <w:rPr>
                <w:rFonts w:ascii="Calibri" w:hAnsi="Calibri"/>
              </w:rPr>
              <w:t xml:space="preserve">Traducción de "tiburones de los mares de Arabia" </w:t>
            </w:r>
            <w:r>
              <w:rPr>
                <w:rFonts w:ascii="Calibri" w:hAnsi="Calibri"/>
              </w:rPr>
              <w:t>̶</w:t>
            </w:r>
            <w:r w:rsidRPr="00F15F35">
              <w:rPr>
                <w:rFonts w:ascii="Calibri" w:hAnsi="Calibri"/>
              </w:rPr>
              <w:t xml:space="preserve"> Guía de identificación</w:t>
            </w:r>
            <w:r>
              <w:rPr>
                <w:rFonts w:ascii="Calibri" w:hAnsi="Calibri"/>
              </w:rPr>
              <w:t xml:space="preserve">̶  </w:t>
            </w:r>
            <w:r w:rsidRPr="00F15F35">
              <w:rPr>
                <w:rFonts w:ascii="Calibri" w:hAnsi="Calibri"/>
              </w:rPr>
              <w:t>a otros idiomas de la región del Océano Índico (p. ej., farsi, hindi, urdu) y otras guías de identificación según sea necesario</w:t>
            </w:r>
          </w:p>
          <w:p w:rsidR="00D90216" w:rsidRPr="00F15F35" w:rsidRDefault="00D90216" w:rsidP="00C85074">
            <w:pPr>
              <w:widowControl/>
              <w:autoSpaceDE/>
              <w:autoSpaceDN/>
              <w:adjustRightInd/>
              <w:rPr>
                <w:rFonts w:ascii="Calibri" w:hAnsi="Calibri"/>
                <w:szCs w:val="20"/>
              </w:rPr>
            </w:pPr>
          </w:p>
        </w:tc>
        <w:tc>
          <w:tcPr>
            <w:tcW w:w="1260" w:type="dxa"/>
            <w:vAlign w:val="center"/>
          </w:tcPr>
          <w:p w:rsidR="003C6CDE" w:rsidRDefault="009E3DC2" w:rsidP="00A8700A">
            <w:pPr>
              <w:widowControl/>
              <w:autoSpaceDE/>
              <w:autoSpaceDN/>
              <w:adjustRightInd/>
              <w:jc w:val="center"/>
              <w:rPr>
                <w:rFonts w:ascii="Calibri" w:hAnsi="Calibri"/>
                <w:color w:val="000000"/>
                <w:szCs w:val="20"/>
              </w:rPr>
            </w:pPr>
            <w:r>
              <w:rPr>
                <w:rFonts w:ascii="Calibri" w:hAnsi="Calibri"/>
                <w:color w:val="000000"/>
                <w:szCs w:val="20"/>
              </w:rPr>
              <w:t>CP 12</w:t>
            </w:r>
          </w:p>
          <w:p w:rsidR="009E3DC2" w:rsidRPr="00F15F35" w:rsidRDefault="009E3DC2" w:rsidP="00A8700A">
            <w:pPr>
              <w:widowControl/>
              <w:autoSpaceDE/>
              <w:autoSpaceDN/>
              <w:adjustRightInd/>
              <w:jc w:val="center"/>
              <w:rPr>
                <w:rFonts w:ascii="Calibri" w:hAnsi="Calibri"/>
                <w:color w:val="000000"/>
                <w:szCs w:val="20"/>
              </w:rPr>
            </w:pPr>
            <w:r>
              <w:rPr>
                <w:rFonts w:ascii="Calibri" w:hAnsi="Calibri"/>
                <w:color w:val="000000"/>
                <w:szCs w:val="20"/>
              </w:rPr>
              <w:t>CP 13</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Media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2016-2017</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Es necesario recaudar fondos</w:t>
            </w:r>
          </w:p>
        </w:tc>
      </w:tr>
      <w:tr w:rsidR="003C6CDE" w:rsidRPr="00EA106E" w:rsidTr="00C85074">
        <w:trPr>
          <w:cantSplit/>
          <w:trHeight w:val="424"/>
        </w:trPr>
        <w:tc>
          <w:tcPr>
            <w:tcW w:w="14490" w:type="dxa"/>
            <w:gridSpan w:val="7"/>
            <w:shd w:val="clear" w:color="auto" w:fill="DEEAF6"/>
            <w:vAlign w:val="center"/>
          </w:tcPr>
          <w:p w:rsidR="003C6CDE" w:rsidRPr="00F15F35" w:rsidRDefault="003C6CDE" w:rsidP="00C85074">
            <w:pPr>
              <w:widowControl/>
              <w:autoSpaceDE/>
              <w:autoSpaceDN/>
              <w:adjustRightInd/>
              <w:spacing w:line="276" w:lineRule="auto"/>
              <w:jc w:val="center"/>
              <w:rPr>
                <w:rFonts w:ascii="Calibri" w:hAnsi="Calibri"/>
                <w:szCs w:val="20"/>
              </w:rPr>
            </w:pPr>
            <w:r w:rsidRPr="00F15F35">
              <w:rPr>
                <w:rFonts w:ascii="Calibri" w:hAnsi="Calibri"/>
                <w:b/>
              </w:rPr>
              <w:t>Recaudación de fondos/movilización de recursos</w:t>
            </w:r>
          </w:p>
        </w:tc>
      </w:tr>
      <w:tr w:rsidR="003C6CDE" w:rsidRPr="00EA106E" w:rsidTr="00C85074">
        <w:trPr>
          <w:cantSplit/>
          <w:trHeight w:val="424"/>
        </w:trPr>
        <w:tc>
          <w:tcPr>
            <w:tcW w:w="990" w:type="dxa"/>
            <w:shd w:val="clear" w:color="000000" w:fill="FFFFFF"/>
            <w:vAlign w:val="center"/>
          </w:tcPr>
          <w:p w:rsidR="003C6CDE" w:rsidRPr="00F15F35" w:rsidRDefault="003C6CDE" w:rsidP="00C85074">
            <w:pPr>
              <w:pStyle w:val="ListParagraph"/>
              <w:widowControl/>
              <w:numPr>
                <w:ilvl w:val="0"/>
                <w:numId w:val="12"/>
              </w:numPr>
              <w:autoSpaceDE/>
              <w:autoSpaceDN/>
              <w:adjustRightInd/>
              <w:jc w:val="center"/>
              <w:rPr>
                <w:rFonts w:ascii="Calibri" w:hAnsi="Calibri"/>
                <w:b/>
                <w:szCs w:val="20"/>
              </w:rPr>
            </w:pPr>
          </w:p>
        </w:tc>
        <w:tc>
          <w:tcPr>
            <w:tcW w:w="6660" w:type="dxa"/>
            <w:shd w:val="clear" w:color="000000" w:fill="FFFFFF"/>
            <w:vAlign w:val="center"/>
          </w:tcPr>
          <w:p w:rsidR="003C6CDE" w:rsidRPr="00F15F35" w:rsidRDefault="003C6CDE" w:rsidP="00C85074">
            <w:pPr>
              <w:widowControl/>
              <w:autoSpaceDE/>
              <w:autoSpaceDN/>
              <w:adjustRightInd/>
              <w:rPr>
                <w:rFonts w:ascii="Calibri" w:hAnsi="Calibri"/>
                <w:szCs w:val="20"/>
              </w:rPr>
            </w:pPr>
            <w:r w:rsidRPr="00F15F35">
              <w:rPr>
                <w:rFonts w:ascii="Calibri" w:hAnsi="Calibri"/>
              </w:rPr>
              <w:t xml:space="preserve">Identificar las oportunidades existentes y nuevas para la recaudación de recursos financieros con el fin de prestar apoyo a la aplicación </w:t>
            </w:r>
            <w:r w:rsidRPr="009E3DC2">
              <w:rPr>
                <w:rFonts w:ascii="Calibri" w:hAnsi="Calibri"/>
                <w:u w:val="single"/>
              </w:rPr>
              <w:t>a largo plazo</w:t>
            </w:r>
            <w:r w:rsidRPr="00F15F35">
              <w:rPr>
                <w:rFonts w:ascii="Calibri" w:hAnsi="Calibri"/>
              </w:rPr>
              <w:t xml:space="preserve"> del Plan de Conservación y el Programa de Trabajo. Ampliar y mejorar las actividades de recaudación de fondos:</w:t>
            </w:r>
          </w:p>
          <w:p w:rsidR="003C6CDE" w:rsidRPr="00F15F35" w:rsidRDefault="003C6CDE" w:rsidP="00C85074">
            <w:pPr>
              <w:pStyle w:val="ListParagraph"/>
              <w:widowControl/>
              <w:numPr>
                <w:ilvl w:val="0"/>
                <w:numId w:val="6"/>
              </w:numPr>
              <w:autoSpaceDE/>
              <w:autoSpaceDN/>
              <w:adjustRightInd/>
              <w:rPr>
                <w:rFonts w:ascii="Calibri" w:hAnsi="Calibri"/>
                <w:szCs w:val="20"/>
              </w:rPr>
            </w:pPr>
            <w:r w:rsidRPr="00F15F35">
              <w:rPr>
                <w:rFonts w:ascii="Calibri" w:hAnsi="Calibri"/>
              </w:rPr>
              <w:t>Recaudar fondos y contribuciones voluntarias anuales de los Signatarios</w:t>
            </w:r>
          </w:p>
          <w:p w:rsidR="003C6CDE" w:rsidRPr="00F15F35" w:rsidRDefault="003C6CDE" w:rsidP="00C85074">
            <w:pPr>
              <w:pStyle w:val="ListParagraph"/>
              <w:widowControl/>
              <w:numPr>
                <w:ilvl w:val="0"/>
                <w:numId w:val="6"/>
              </w:numPr>
              <w:autoSpaceDE/>
              <w:autoSpaceDN/>
              <w:adjustRightInd/>
              <w:rPr>
                <w:rFonts w:ascii="Calibri" w:hAnsi="Calibri"/>
                <w:szCs w:val="20"/>
              </w:rPr>
            </w:pPr>
            <w:r w:rsidRPr="00F15F35">
              <w:rPr>
                <w:rFonts w:ascii="Calibri" w:hAnsi="Calibri"/>
              </w:rPr>
              <w:t>Recaudar fondos para proyectos conjuntos con asociados efectivos y potenciales</w:t>
            </w:r>
          </w:p>
          <w:p w:rsidR="003C6CDE" w:rsidRPr="00F15F35" w:rsidRDefault="003C6CDE" w:rsidP="00C85074">
            <w:pPr>
              <w:pStyle w:val="ListParagraph"/>
              <w:widowControl/>
              <w:numPr>
                <w:ilvl w:val="0"/>
                <w:numId w:val="6"/>
              </w:numPr>
              <w:autoSpaceDE/>
              <w:autoSpaceDN/>
              <w:adjustRightInd/>
              <w:rPr>
                <w:rFonts w:ascii="Calibri" w:hAnsi="Calibri"/>
                <w:szCs w:val="20"/>
              </w:rPr>
            </w:pPr>
            <w:r w:rsidRPr="00F15F35">
              <w:rPr>
                <w:rFonts w:ascii="Calibri" w:hAnsi="Calibri"/>
              </w:rPr>
              <w:t>Explorar las posibilidades de fondos alternativos (p. ej., del sector privado)</w:t>
            </w:r>
          </w:p>
          <w:p w:rsidR="003C6CDE" w:rsidRPr="00F15F35" w:rsidRDefault="003C6CDE" w:rsidP="00C85074">
            <w:pPr>
              <w:pStyle w:val="ListParagraph"/>
              <w:widowControl/>
              <w:numPr>
                <w:ilvl w:val="0"/>
                <w:numId w:val="6"/>
              </w:numPr>
              <w:autoSpaceDE/>
              <w:autoSpaceDN/>
              <w:adjustRightInd/>
              <w:rPr>
                <w:rFonts w:ascii="Calibri" w:hAnsi="Calibri"/>
                <w:szCs w:val="20"/>
              </w:rPr>
            </w:pPr>
            <w:r w:rsidRPr="00F15F35">
              <w:rPr>
                <w:rFonts w:ascii="Calibri" w:hAnsi="Calibri"/>
              </w:rPr>
              <w:t>Presta</w:t>
            </w:r>
            <w:r>
              <w:rPr>
                <w:rFonts w:ascii="Calibri" w:hAnsi="Calibri"/>
              </w:rPr>
              <w:t>r</w:t>
            </w:r>
            <w:r w:rsidRPr="00F15F35">
              <w:rPr>
                <w:rFonts w:ascii="Calibri" w:hAnsi="Calibri"/>
              </w:rPr>
              <w:t xml:space="preserve"> apoyo a las solicitudes y oportunidades de financiación para los Signatarios</w:t>
            </w:r>
          </w:p>
          <w:p w:rsidR="003C6CDE" w:rsidRPr="00D90216" w:rsidRDefault="003C6CDE" w:rsidP="00C85074">
            <w:pPr>
              <w:pStyle w:val="ListParagraph"/>
              <w:widowControl/>
              <w:numPr>
                <w:ilvl w:val="0"/>
                <w:numId w:val="6"/>
              </w:numPr>
              <w:autoSpaceDE/>
              <w:autoSpaceDN/>
              <w:adjustRightInd/>
              <w:rPr>
                <w:rFonts w:ascii="Calibri" w:hAnsi="Calibri"/>
                <w:szCs w:val="20"/>
              </w:rPr>
            </w:pPr>
            <w:r w:rsidRPr="00F15F35">
              <w:rPr>
                <w:rFonts w:ascii="Calibri" w:hAnsi="Calibri"/>
              </w:rPr>
              <w:t>con cartas de respaldo/apoyo</w:t>
            </w:r>
          </w:p>
        </w:tc>
        <w:tc>
          <w:tcPr>
            <w:tcW w:w="1260" w:type="dxa"/>
            <w:vAlign w:val="center"/>
          </w:tcPr>
          <w:p w:rsidR="003C6CDE" w:rsidRPr="00F15F35" w:rsidRDefault="003C6CDE" w:rsidP="00A8700A">
            <w:pPr>
              <w:widowControl/>
              <w:autoSpaceDE/>
              <w:autoSpaceDN/>
              <w:adjustRightInd/>
              <w:jc w:val="center"/>
              <w:rPr>
                <w:rFonts w:ascii="Calibri" w:hAnsi="Calibri"/>
                <w:color w:val="000000"/>
                <w:szCs w:val="20"/>
                <w:highlight w:val="yellow"/>
              </w:rPr>
            </w:pPr>
            <w:r w:rsidRPr="00F15F35">
              <w:rPr>
                <w:rFonts w:ascii="Calibri" w:hAnsi="Calibri"/>
                <w:color w:val="000000"/>
              </w:rPr>
              <w:t>Mandato de la SEC</w:t>
            </w:r>
          </w:p>
        </w:tc>
        <w:tc>
          <w:tcPr>
            <w:tcW w:w="99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Pr>
                <w:rFonts w:ascii="Calibri" w:hAnsi="Calibri"/>
                <w:color w:val="000000"/>
              </w:rPr>
              <w:t>Básica</w:t>
            </w:r>
          </w:p>
        </w:tc>
        <w:tc>
          <w:tcPr>
            <w:tcW w:w="1170" w:type="dxa"/>
            <w:tcMar>
              <w:top w:w="57" w:type="dxa"/>
              <w:left w:w="57" w:type="dxa"/>
              <w:bottom w:w="57" w:type="dxa"/>
              <w:right w:w="57" w:type="dxa"/>
            </w:tcMar>
            <w:vAlign w:val="center"/>
          </w:tcPr>
          <w:p w:rsidR="003C6CDE" w:rsidRPr="00F15F35" w:rsidRDefault="003C6CDE" w:rsidP="00A8700A">
            <w:pPr>
              <w:widowControl/>
              <w:autoSpaceDE/>
              <w:autoSpaceDN/>
              <w:adjustRightInd/>
              <w:jc w:val="center"/>
              <w:rPr>
                <w:rFonts w:ascii="Calibri" w:hAnsi="Calibri"/>
                <w:color w:val="000000"/>
                <w:szCs w:val="20"/>
              </w:rPr>
            </w:pPr>
            <w:r w:rsidRPr="00F15F35">
              <w:rPr>
                <w:rFonts w:ascii="Calibri" w:hAnsi="Calibri"/>
                <w:color w:val="000000"/>
              </w:rPr>
              <w:t>2016-2018</w:t>
            </w:r>
          </w:p>
        </w:tc>
        <w:tc>
          <w:tcPr>
            <w:tcW w:w="1440" w:type="dxa"/>
            <w:tcMar>
              <w:top w:w="57" w:type="dxa"/>
              <w:left w:w="57" w:type="dxa"/>
              <w:bottom w:w="57" w:type="dxa"/>
              <w:right w:w="57" w:type="dxa"/>
            </w:tcMar>
            <w:vAlign w:val="center"/>
          </w:tcPr>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SIG</w:t>
            </w:r>
          </w:p>
          <w:p w:rsidR="003C6CDE" w:rsidRPr="00F15F35" w:rsidRDefault="003C6CDE" w:rsidP="00A8700A">
            <w:pPr>
              <w:widowControl/>
              <w:autoSpaceDE/>
              <w:autoSpaceDN/>
              <w:adjustRightInd/>
              <w:spacing w:line="276" w:lineRule="auto"/>
              <w:jc w:val="center"/>
              <w:rPr>
                <w:rFonts w:ascii="Calibri" w:hAnsi="Calibri"/>
                <w:szCs w:val="20"/>
              </w:rPr>
            </w:pPr>
            <w:r w:rsidRPr="00F15F35">
              <w:rPr>
                <w:rFonts w:ascii="Calibri" w:hAnsi="Calibri"/>
              </w:rPr>
              <w:t>SEC</w:t>
            </w:r>
          </w:p>
        </w:tc>
        <w:tc>
          <w:tcPr>
            <w:tcW w:w="1980" w:type="dxa"/>
            <w:vAlign w:val="center"/>
          </w:tcPr>
          <w:p w:rsidR="003C6CDE" w:rsidRPr="00F15F35" w:rsidRDefault="009E3DC2" w:rsidP="00A8700A">
            <w:pPr>
              <w:widowControl/>
              <w:autoSpaceDE/>
              <w:autoSpaceDN/>
              <w:adjustRightInd/>
              <w:spacing w:line="276" w:lineRule="auto"/>
              <w:jc w:val="center"/>
              <w:rPr>
                <w:rFonts w:ascii="Calibri" w:hAnsi="Calibri"/>
                <w:szCs w:val="20"/>
              </w:rPr>
            </w:pPr>
            <w:r>
              <w:rPr>
                <w:rFonts w:ascii="Calibri" w:hAnsi="Calibri"/>
              </w:rPr>
              <w:t>H</w:t>
            </w:r>
            <w:r w:rsidR="003C6CDE" w:rsidRPr="00F15F35">
              <w:rPr>
                <w:rFonts w:ascii="Calibri" w:hAnsi="Calibri"/>
              </w:rPr>
              <w:t>ipótesis presupuestarias 1 y 2</w:t>
            </w:r>
          </w:p>
        </w:tc>
      </w:tr>
    </w:tbl>
    <w:p w:rsidR="003C6CDE" w:rsidRDefault="003C6CDE" w:rsidP="00B45C51"/>
    <w:p w:rsidR="003C6CDE" w:rsidRDefault="003C6CDE" w:rsidP="00B45C51"/>
    <w:p w:rsidR="003C6CDE" w:rsidRDefault="003C6CDE" w:rsidP="00B45C51"/>
    <w:p w:rsidR="003C6CDE" w:rsidRDefault="003C6CDE" w:rsidP="00B45C51">
      <w:pPr>
        <w:ind w:left="420"/>
        <w:jc w:val="both"/>
        <w:rPr>
          <w:sz w:val="24"/>
        </w:rPr>
      </w:pPr>
    </w:p>
    <w:p w:rsidR="003C6CDE" w:rsidRPr="00FD56E6" w:rsidRDefault="003C6CDE" w:rsidP="00573C09">
      <w:pPr>
        <w:rPr>
          <w:bCs/>
          <w:i/>
          <w:sz w:val="22"/>
          <w:szCs w:val="22"/>
        </w:rPr>
      </w:pPr>
    </w:p>
    <w:sectPr w:rsidR="003C6CDE" w:rsidRPr="00FD56E6" w:rsidSect="00B45C51">
      <w:endnotePr>
        <w:numFmt w:val="decimal"/>
      </w:endnotePr>
      <w:pgSz w:w="16837" w:h="11905" w:orient="landscape" w:code="9"/>
      <w:pgMar w:top="720" w:right="720" w:bottom="720" w:left="720" w:header="504" w:footer="50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00A" w:rsidRDefault="00A8700A">
      <w:r>
        <w:separator/>
      </w:r>
    </w:p>
  </w:endnote>
  <w:endnote w:type="continuationSeparator" w:id="0">
    <w:p w:rsidR="00A8700A" w:rsidRDefault="00A8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00A" w:rsidRDefault="00A870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0860">
      <w:rPr>
        <w:rStyle w:val="PageNumber"/>
        <w:noProof/>
      </w:rPr>
      <w:t>10</w:t>
    </w:r>
    <w:r>
      <w:rPr>
        <w:rStyle w:val="PageNumber"/>
      </w:rPr>
      <w:fldChar w:fldCharType="end"/>
    </w:r>
  </w:p>
  <w:p w:rsidR="00A8700A" w:rsidRDefault="00A870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00A" w:rsidRDefault="00A8700A">
    <w:pPr>
      <w:pStyle w:val="Footer"/>
      <w:jc w:val="center"/>
    </w:pPr>
    <w:r>
      <w:fldChar w:fldCharType="begin"/>
    </w:r>
    <w:r>
      <w:instrText xml:space="preserve"> PAGE   \* MERGEFORMAT </w:instrText>
    </w:r>
    <w:r>
      <w:fldChar w:fldCharType="separate"/>
    </w:r>
    <w:r w:rsidR="008A0860">
      <w:rPr>
        <w:noProof/>
      </w:rPr>
      <w:t>13</w:t>
    </w:r>
    <w:r>
      <w:fldChar w:fldCharType="end"/>
    </w:r>
  </w:p>
  <w:p w:rsidR="00A8700A" w:rsidRDefault="00A8700A" w:rsidP="00A606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00A" w:rsidRPr="002C1435" w:rsidRDefault="00A8700A" w:rsidP="002C1435">
    <w:pPr>
      <w:pStyle w:val="Footer"/>
      <w:jc w:val="center"/>
    </w:pPr>
    <w:r>
      <w:fldChar w:fldCharType="begin"/>
    </w:r>
    <w:r>
      <w:instrText xml:space="preserve"> PAGE   \* MERGEFORMAT </w:instrText>
    </w:r>
    <w:r>
      <w:fldChar w:fldCharType="separate"/>
    </w:r>
    <w:r w:rsidR="008A086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00A" w:rsidRDefault="00A8700A">
      <w:r>
        <w:separator/>
      </w:r>
    </w:p>
  </w:footnote>
  <w:footnote w:type="continuationSeparator" w:id="0">
    <w:p w:rsidR="00A8700A" w:rsidRDefault="00A8700A">
      <w:r>
        <w:continuationSeparator/>
      </w:r>
    </w:p>
  </w:footnote>
  <w:footnote w:id="1">
    <w:p w:rsidR="00A8700A" w:rsidRDefault="00A8700A" w:rsidP="00B45C51">
      <w:pPr>
        <w:pStyle w:val="FootnoteText"/>
      </w:pPr>
      <w:r>
        <w:rPr>
          <w:rStyle w:val="FootnoteReference"/>
          <w:sz w:val="18"/>
          <w:vertAlign w:val="superscript"/>
        </w:rPr>
        <w:footnoteRef/>
      </w:r>
      <w:r>
        <w:rPr>
          <w:sz w:val="18"/>
        </w:rPr>
        <w:t xml:space="preserve"> El Plan de Conservación (PC) y el mandato del Comité Asesor y de la Secretaría (Mandato de la SEC)</w:t>
      </w:r>
    </w:p>
  </w:footnote>
  <w:footnote w:id="2">
    <w:p w:rsidR="00A8700A" w:rsidRDefault="00A8700A" w:rsidP="00B45C51">
      <w:pPr>
        <w:pStyle w:val="FootnoteText"/>
      </w:pPr>
      <w:r>
        <w:rPr>
          <w:rStyle w:val="FootnoteReference"/>
          <w:sz w:val="18"/>
          <w:vertAlign w:val="superscript"/>
        </w:rPr>
        <w:footnoteRef/>
      </w:r>
      <w:r>
        <w:rPr>
          <w:sz w:val="18"/>
        </w:rPr>
        <w:t xml:space="preserve"> Las actividades básicas de la Secretaría y las prioridades propuestas (alta, media,)</w:t>
      </w:r>
    </w:p>
  </w:footnote>
  <w:footnote w:id="3">
    <w:p w:rsidR="00A8700A" w:rsidRDefault="00A8700A" w:rsidP="00B45C51">
      <w:pPr>
        <w:pStyle w:val="FootnoteText"/>
      </w:pPr>
      <w:r>
        <w:rPr>
          <w:rStyle w:val="FootnoteReference"/>
          <w:vertAlign w:val="superscript"/>
        </w:rPr>
        <w:footnoteRef/>
      </w:r>
      <w:r>
        <w:t xml:space="preserve"> </w:t>
      </w:r>
      <w:r>
        <w:rPr>
          <w:sz w:val="18"/>
        </w:rPr>
        <w:t>Año (s) en los que se deberá realizar la actividad</w:t>
      </w:r>
    </w:p>
  </w:footnote>
  <w:footnote w:id="4">
    <w:p w:rsidR="00A8700A" w:rsidRDefault="00A8700A" w:rsidP="00B45C51">
      <w:pPr>
        <w:pStyle w:val="FootnoteText"/>
      </w:pPr>
      <w:r>
        <w:rPr>
          <w:rStyle w:val="FootnoteReference"/>
          <w:sz w:val="18"/>
          <w:vertAlign w:val="superscript"/>
        </w:rPr>
        <w:footnoteRef/>
      </w:r>
      <w:r>
        <w:rPr>
          <w:sz w:val="18"/>
        </w:rPr>
        <w:t xml:space="preserve"> Signatarios (SIG), Comité Asesor (CA), Secretaría (SEC), Grupo de trabajo sobre las especies (GTE), Grupo de trabajo sobre capturas incidentales (GTCI), consultores, socios colaboradores</w:t>
      </w:r>
    </w:p>
  </w:footnote>
  <w:footnote w:id="5">
    <w:p w:rsidR="00A8700A" w:rsidRDefault="00A8700A" w:rsidP="00B45C51">
      <w:pPr>
        <w:pStyle w:val="FootnoteText"/>
      </w:pPr>
      <w:r>
        <w:rPr>
          <w:rStyle w:val="FootnoteReference"/>
          <w:vertAlign w:val="superscript"/>
        </w:rPr>
        <w:footnoteRef/>
      </w:r>
      <w:r>
        <w:t xml:space="preserve"> </w:t>
      </w:r>
      <w:r>
        <w:rPr>
          <w:sz w:val="18"/>
        </w:rPr>
        <w:t xml:space="preserve">Hipótesis de recaudación de fondos 1 ó 2 del presupuesto propuesto 2016-2018 CMS/Sharks/MOS2/Doc.10.1  y actividades  que requieren una recaudación especial de fondos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00A" w:rsidRPr="00A05017" w:rsidRDefault="00A8700A" w:rsidP="002C1435">
    <w:pPr>
      <w:pBdr>
        <w:bottom w:val="single" w:sz="4" w:space="1" w:color="auto"/>
      </w:pBdr>
      <w:ind w:left="-36" w:right="-108"/>
      <w:jc w:val="both"/>
      <w:rPr>
        <w:sz w:val="22"/>
        <w:szCs w:val="22"/>
      </w:rPr>
    </w:pPr>
    <w:r w:rsidRPr="00A05017">
      <w:rPr>
        <w:sz w:val="22"/>
        <w:szCs w:val="22"/>
      </w:rPr>
      <w:t>CMS/Sharks/MOS2/Doc.9.1</w:t>
    </w:r>
  </w:p>
  <w:p w:rsidR="00A8700A" w:rsidRDefault="00A8700A" w:rsidP="002C1435">
    <w:pPr>
      <w:pStyle w:val="Header"/>
    </w:pPr>
  </w:p>
  <w:p w:rsidR="00A8700A" w:rsidRDefault="00A870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00A" w:rsidRPr="00A05017" w:rsidRDefault="00A8700A" w:rsidP="002C1435">
    <w:pPr>
      <w:pBdr>
        <w:bottom w:val="single" w:sz="4" w:space="1" w:color="auto"/>
      </w:pBdr>
      <w:ind w:left="-36" w:right="-108"/>
      <w:jc w:val="right"/>
      <w:rPr>
        <w:sz w:val="22"/>
        <w:szCs w:val="22"/>
      </w:rPr>
    </w:pPr>
    <w:r w:rsidRPr="00A05017">
      <w:rPr>
        <w:sz w:val="22"/>
        <w:szCs w:val="22"/>
      </w:rPr>
      <w:t>CMS/Sharks/MOS2/Doc.9.1</w:t>
    </w:r>
  </w:p>
  <w:p w:rsidR="00A8700A" w:rsidRDefault="00A8700A" w:rsidP="002C1435">
    <w:pPr>
      <w:pStyle w:val="Header"/>
    </w:pPr>
  </w:p>
  <w:p w:rsidR="00A8700A" w:rsidRDefault="00A87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9C90F48"/>
    <w:multiLevelType w:val="hybridMultilevel"/>
    <w:tmpl w:val="8F3C8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129E"/>
    <w:multiLevelType w:val="multilevel"/>
    <w:tmpl w:val="C944DB7E"/>
    <w:numStyleLink w:val="Style1"/>
  </w:abstractNum>
  <w:abstractNum w:abstractNumId="3" w15:restartNumberingAfterBreak="0">
    <w:nsid w:val="171711CB"/>
    <w:multiLevelType w:val="multilevel"/>
    <w:tmpl w:val="C944DB7E"/>
    <w:styleLink w:val="Style1"/>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F1A6D11"/>
    <w:multiLevelType w:val="hybridMultilevel"/>
    <w:tmpl w:val="C8866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B4BCB"/>
    <w:multiLevelType w:val="hybridMultilevel"/>
    <w:tmpl w:val="EC98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C5C78"/>
    <w:multiLevelType w:val="hybridMultilevel"/>
    <w:tmpl w:val="70B2C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53EBB"/>
    <w:multiLevelType w:val="hybridMultilevel"/>
    <w:tmpl w:val="AA1EF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C1C34"/>
    <w:multiLevelType w:val="hybridMultilevel"/>
    <w:tmpl w:val="49B4E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35892"/>
    <w:multiLevelType w:val="hybridMultilevel"/>
    <w:tmpl w:val="37CE49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1B6264"/>
    <w:multiLevelType w:val="hybridMultilevel"/>
    <w:tmpl w:val="9E0A51A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6D4304FF"/>
    <w:multiLevelType w:val="hybridMultilevel"/>
    <w:tmpl w:val="E7E6EFFA"/>
    <w:lvl w:ilvl="0" w:tplc="04090017">
      <w:start w:val="1"/>
      <w:numFmt w:val="lowerLetter"/>
      <w:lvlText w:val="%1)"/>
      <w:lvlJc w:val="left"/>
      <w:pPr>
        <w:ind w:left="780" w:hanging="360"/>
      </w:pPr>
      <w:rPr>
        <w:rFonts w:cs="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3FC6800"/>
    <w:multiLevelType w:val="hybridMultilevel"/>
    <w:tmpl w:val="A94C4B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5AE68BF"/>
    <w:multiLevelType w:val="hybridMultilevel"/>
    <w:tmpl w:val="84785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53F60"/>
    <w:multiLevelType w:val="hybridMultilevel"/>
    <w:tmpl w:val="D1AA25C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7CD4259B"/>
    <w:multiLevelType w:val="hybridMultilevel"/>
    <w:tmpl w:val="467EC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87188"/>
    <w:multiLevelType w:val="hybridMultilevel"/>
    <w:tmpl w:val="79CCE2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1"/>
  </w:num>
  <w:num w:numId="3">
    <w:abstractNumId w:val="2"/>
    <w:lvlOverride w:ilvl="0">
      <w:lvl w:ilvl="0">
        <w:start w:val="1"/>
        <w:numFmt w:val="decimal"/>
        <w:lvlText w:val="%1."/>
        <w:lvlJc w:val="left"/>
        <w:pPr>
          <w:ind w:left="360" w:hanging="360"/>
        </w:pPr>
        <w:rPr>
          <w:rFonts w:cs="Times New Roman"/>
          <w:i w:val="0"/>
        </w:rPr>
      </w:lvl>
    </w:lvlOverride>
  </w:num>
  <w:num w:numId="4">
    <w:abstractNumId w:val="3"/>
  </w:num>
  <w:num w:numId="5">
    <w:abstractNumId w:val="7"/>
  </w:num>
  <w:num w:numId="6">
    <w:abstractNumId w:val="5"/>
  </w:num>
  <w:num w:numId="7">
    <w:abstractNumId w:val="1"/>
  </w:num>
  <w:num w:numId="8">
    <w:abstractNumId w:val="9"/>
  </w:num>
  <w:num w:numId="9">
    <w:abstractNumId w:val="14"/>
  </w:num>
  <w:num w:numId="10">
    <w:abstractNumId w:val="4"/>
  </w:num>
  <w:num w:numId="11">
    <w:abstractNumId w:val="8"/>
  </w:num>
  <w:num w:numId="12">
    <w:abstractNumId w:val="12"/>
  </w:num>
  <w:num w:numId="13">
    <w:abstractNumId w:val="13"/>
  </w:num>
  <w:num w:numId="14">
    <w:abstractNumId w:val="16"/>
  </w:num>
  <w:num w:numId="15">
    <w:abstractNumId w:val="6"/>
  </w:num>
  <w:num w:numId="16">
    <w:abstractNumId w:val="10"/>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79"/>
    <w:rsid w:val="000000B6"/>
    <w:rsid w:val="00004F36"/>
    <w:rsid w:val="00004FA8"/>
    <w:rsid w:val="00011FB1"/>
    <w:rsid w:val="0001658C"/>
    <w:rsid w:val="0001664A"/>
    <w:rsid w:val="00030CC6"/>
    <w:rsid w:val="00031903"/>
    <w:rsid w:val="00041581"/>
    <w:rsid w:val="0005234E"/>
    <w:rsid w:val="000528D1"/>
    <w:rsid w:val="00055688"/>
    <w:rsid w:val="0005753E"/>
    <w:rsid w:val="000605CD"/>
    <w:rsid w:val="00062E43"/>
    <w:rsid w:val="00066BCE"/>
    <w:rsid w:val="0007625D"/>
    <w:rsid w:val="00077AF4"/>
    <w:rsid w:val="000948CA"/>
    <w:rsid w:val="000A41F5"/>
    <w:rsid w:val="000A5048"/>
    <w:rsid w:val="000B0517"/>
    <w:rsid w:val="000B435F"/>
    <w:rsid w:val="000C19F0"/>
    <w:rsid w:val="000C5043"/>
    <w:rsid w:val="000C5495"/>
    <w:rsid w:val="000C78FA"/>
    <w:rsid w:val="000D7B7E"/>
    <w:rsid w:val="000E0DB7"/>
    <w:rsid w:val="000F2531"/>
    <w:rsid w:val="00105E18"/>
    <w:rsid w:val="0011033B"/>
    <w:rsid w:val="00110EA3"/>
    <w:rsid w:val="00113D6B"/>
    <w:rsid w:val="001225A7"/>
    <w:rsid w:val="00157F05"/>
    <w:rsid w:val="00167E7D"/>
    <w:rsid w:val="001724AD"/>
    <w:rsid w:val="001729F5"/>
    <w:rsid w:val="00172D8F"/>
    <w:rsid w:val="001932C9"/>
    <w:rsid w:val="001A20B2"/>
    <w:rsid w:val="001A25B7"/>
    <w:rsid w:val="001C234E"/>
    <w:rsid w:val="001C3EC8"/>
    <w:rsid w:val="001C5E47"/>
    <w:rsid w:val="001D660C"/>
    <w:rsid w:val="001F398C"/>
    <w:rsid w:val="001F4326"/>
    <w:rsid w:val="001F7818"/>
    <w:rsid w:val="002031AD"/>
    <w:rsid w:val="00211483"/>
    <w:rsid w:val="00212A77"/>
    <w:rsid w:val="0021348A"/>
    <w:rsid w:val="002136FB"/>
    <w:rsid w:val="00214729"/>
    <w:rsid w:val="002168F3"/>
    <w:rsid w:val="002325AA"/>
    <w:rsid w:val="0023469C"/>
    <w:rsid w:val="00242392"/>
    <w:rsid w:val="00247325"/>
    <w:rsid w:val="002507CE"/>
    <w:rsid w:val="002525C1"/>
    <w:rsid w:val="00264F21"/>
    <w:rsid w:val="00265F2B"/>
    <w:rsid w:val="00270BC0"/>
    <w:rsid w:val="00281D8D"/>
    <w:rsid w:val="00285305"/>
    <w:rsid w:val="00285BDE"/>
    <w:rsid w:val="00292300"/>
    <w:rsid w:val="0029245E"/>
    <w:rsid w:val="00296685"/>
    <w:rsid w:val="002A0AA3"/>
    <w:rsid w:val="002C1435"/>
    <w:rsid w:val="002C1817"/>
    <w:rsid w:val="002C68FF"/>
    <w:rsid w:val="002F22E3"/>
    <w:rsid w:val="002F360B"/>
    <w:rsid w:val="002F7FB3"/>
    <w:rsid w:val="00304781"/>
    <w:rsid w:val="00304DA1"/>
    <w:rsid w:val="0032601D"/>
    <w:rsid w:val="00337FE0"/>
    <w:rsid w:val="00344223"/>
    <w:rsid w:val="003478D9"/>
    <w:rsid w:val="00350409"/>
    <w:rsid w:val="003543AD"/>
    <w:rsid w:val="00357DB3"/>
    <w:rsid w:val="00374A71"/>
    <w:rsid w:val="0039322E"/>
    <w:rsid w:val="003A34D6"/>
    <w:rsid w:val="003A55D8"/>
    <w:rsid w:val="003B1518"/>
    <w:rsid w:val="003B24AF"/>
    <w:rsid w:val="003B2F6B"/>
    <w:rsid w:val="003B6B4F"/>
    <w:rsid w:val="003C5DB4"/>
    <w:rsid w:val="003C6CDE"/>
    <w:rsid w:val="003D0204"/>
    <w:rsid w:val="003D23C3"/>
    <w:rsid w:val="003D7653"/>
    <w:rsid w:val="003E60C8"/>
    <w:rsid w:val="003F4600"/>
    <w:rsid w:val="0041514D"/>
    <w:rsid w:val="00426E1E"/>
    <w:rsid w:val="00427A19"/>
    <w:rsid w:val="004314DC"/>
    <w:rsid w:val="004441E3"/>
    <w:rsid w:val="00445F80"/>
    <w:rsid w:val="00466E5F"/>
    <w:rsid w:val="004736AD"/>
    <w:rsid w:val="00483236"/>
    <w:rsid w:val="0048566B"/>
    <w:rsid w:val="004B1C3F"/>
    <w:rsid w:val="004B4FE3"/>
    <w:rsid w:val="004C1D1D"/>
    <w:rsid w:val="004C41A2"/>
    <w:rsid w:val="004C4D37"/>
    <w:rsid w:val="004C6309"/>
    <w:rsid w:val="004E421D"/>
    <w:rsid w:val="00506516"/>
    <w:rsid w:val="005242C3"/>
    <w:rsid w:val="00531E71"/>
    <w:rsid w:val="00532DB2"/>
    <w:rsid w:val="00533149"/>
    <w:rsid w:val="0053662F"/>
    <w:rsid w:val="00537226"/>
    <w:rsid w:val="00545D82"/>
    <w:rsid w:val="005502BE"/>
    <w:rsid w:val="00573C09"/>
    <w:rsid w:val="00573DA3"/>
    <w:rsid w:val="00574C18"/>
    <w:rsid w:val="00576036"/>
    <w:rsid w:val="00584541"/>
    <w:rsid w:val="00585906"/>
    <w:rsid w:val="0058661E"/>
    <w:rsid w:val="00596E10"/>
    <w:rsid w:val="005B432E"/>
    <w:rsid w:val="005B7CCE"/>
    <w:rsid w:val="005C423F"/>
    <w:rsid w:val="005C7637"/>
    <w:rsid w:val="005D41EE"/>
    <w:rsid w:val="00612FAF"/>
    <w:rsid w:val="0062370A"/>
    <w:rsid w:val="00626489"/>
    <w:rsid w:val="00627F98"/>
    <w:rsid w:val="00641C33"/>
    <w:rsid w:val="00642C6E"/>
    <w:rsid w:val="00653150"/>
    <w:rsid w:val="006643E2"/>
    <w:rsid w:val="0067674A"/>
    <w:rsid w:val="00685391"/>
    <w:rsid w:val="00690407"/>
    <w:rsid w:val="00690584"/>
    <w:rsid w:val="006A5C7F"/>
    <w:rsid w:val="006B4636"/>
    <w:rsid w:val="006D2397"/>
    <w:rsid w:val="00700003"/>
    <w:rsid w:val="00701488"/>
    <w:rsid w:val="00713851"/>
    <w:rsid w:val="00724D22"/>
    <w:rsid w:val="0073229F"/>
    <w:rsid w:val="00734C65"/>
    <w:rsid w:val="007404DC"/>
    <w:rsid w:val="007540F9"/>
    <w:rsid w:val="0075447A"/>
    <w:rsid w:val="00756D88"/>
    <w:rsid w:val="0076151D"/>
    <w:rsid w:val="0076490D"/>
    <w:rsid w:val="007851FF"/>
    <w:rsid w:val="007A4DCA"/>
    <w:rsid w:val="007A4EE9"/>
    <w:rsid w:val="007B1A3F"/>
    <w:rsid w:val="007C292C"/>
    <w:rsid w:val="007C5719"/>
    <w:rsid w:val="007C6C20"/>
    <w:rsid w:val="007D5AEA"/>
    <w:rsid w:val="007E705D"/>
    <w:rsid w:val="008042EA"/>
    <w:rsid w:val="00804AA2"/>
    <w:rsid w:val="00814476"/>
    <w:rsid w:val="008155B8"/>
    <w:rsid w:val="008244D3"/>
    <w:rsid w:val="00833727"/>
    <w:rsid w:val="008410EB"/>
    <w:rsid w:val="00843125"/>
    <w:rsid w:val="00863A75"/>
    <w:rsid w:val="00872D87"/>
    <w:rsid w:val="00892158"/>
    <w:rsid w:val="00892A34"/>
    <w:rsid w:val="008A0860"/>
    <w:rsid w:val="008A6558"/>
    <w:rsid w:val="008B4D0D"/>
    <w:rsid w:val="008B5052"/>
    <w:rsid w:val="008C531F"/>
    <w:rsid w:val="008C6CFD"/>
    <w:rsid w:val="008E0DBF"/>
    <w:rsid w:val="008E1520"/>
    <w:rsid w:val="008E2F89"/>
    <w:rsid w:val="008F6B1B"/>
    <w:rsid w:val="008F6E90"/>
    <w:rsid w:val="008F70B9"/>
    <w:rsid w:val="008F7C5D"/>
    <w:rsid w:val="0092026B"/>
    <w:rsid w:val="0092374A"/>
    <w:rsid w:val="00925B00"/>
    <w:rsid w:val="009403B8"/>
    <w:rsid w:val="0094695D"/>
    <w:rsid w:val="00947381"/>
    <w:rsid w:val="00952F52"/>
    <w:rsid w:val="0096252D"/>
    <w:rsid w:val="00972667"/>
    <w:rsid w:val="00983746"/>
    <w:rsid w:val="009B672F"/>
    <w:rsid w:val="009C0AFC"/>
    <w:rsid w:val="009C2093"/>
    <w:rsid w:val="009C6448"/>
    <w:rsid w:val="009D502A"/>
    <w:rsid w:val="009E3DC2"/>
    <w:rsid w:val="009F3FE6"/>
    <w:rsid w:val="00A02DC0"/>
    <w:rsid w:val="00A05017"/>
    <w:rsid w:val="00A07176"/>
    <w:rsid w:val="00A13329"/>
    <w:rsid w:val="00A13AA7"/>
    <w:rsid w:val="00A24048"/>
    <w:rsid w:val="00A25005"/>
    <w:rsid w:val="00A34B19"/>
    <w:rsid w:val="00A34C34"/>
    <w:rsid w:val="00A36C1F"/>
    <w:rsid w:val="00A41F40"/>
    <w:rsid w:val="00A436DD"/>
    <w:rsid w:val="00A518D6"/>
    <w:rsid w:val="00A5413F"/>
    <w:rsid w:val="00A57DFC"/>
    <w:rsid w:val="00A6067C"/>
    <w:rsid w:val="00A6237B"/>
    <w:rsid w:val="00A67865"/>
    <w:rsid w:val="00A75BEE"/>
    <w:rsid w:val="00A84CC5"/>
    <w:rsid w:val="00A86A76"/>
    <w:rsid w:val="00A8700A"/>
    <w:rsid w:val="00AA1C8F"/>
    <w:rsid w:val="00AA479F"/>
    <w:rsid w:val="00AD02F6"/>
    <w:rsid w:val="00AD3314"/>
    <w:rsid w:val="00AD4C82"/>
    <w:rsid w:val="00AD75A0"/>
    <w:rsid w:val="00AE23C3"/>
    <w:rsid w:val="00AE3B56"/>
    <w:rsid w:val="00AE6178"/>
    <w:rsid w:val="00AF4393"/>
    <w:rsid w:val="00AF4EAA"/>
    <w:rsid w:val="00AF5FCF"/>
    <w:rsid w:val="00AF6552"/>
    <w:rsid w:val="00B04F77"/>
    <w:rsid w:val="00B05FB7"/>
    <w:rsid w:val="00B07AC5"/>
    <w:rsid w:val="00B10878"/>
    <w:rsid w:val="00B21450"/>
    <w:rsid w:val="00B26CF2"/>
    <w:rsid w:val="00B43A9D"/>
    <w:rsid w:val="00B45C51"/>
    <w:rsid w:val="00B57342"/>
    <w:rsid w:val="00B6267F"/>
    <w:rsid w:val="00B74DEC"/>
    <w:rsid w:val="00B840FB"/>
    <w:rsid w:val="00BA062C"/>
    <w:rsid w:val="00BA0FA8"/>
    <w:rsid w:val="00BA70D5"/>
    <w:rsid w:val="00BB65F2"/>
    <w:rsid w:val="00BD241F"/>
    <w:rsid w:val="00BD2B00"/>
    <w:rsid w:val="00BE411F"/>
    <w:rsid w:val="00BF1E7F"/>
    <w:rsid w:val="00BF68C5"/>
    <w:rsid w:val="00C14C6E"/>
    <w:rsid w:val="00C150D0"/>
    <w:rsid w:val="00C24104"/>
    <w:rsid w:val="00C24EEA"/>
    <w:rsid w:val="00C433CB"/>
    <w:rsid w:val="00C43FE0"/>
    <w:rsid w:val="00C468B9"/>
    <w:rsid w:val="00C471C1"/>
    <w:rsid w:val="00C55BD5"/>
    <w:rsid w:val="00C57525"/>
    <w:rsid w:val="00C610CF"/>
    <w:rsid w:val="00C66463"/>
    <w:rsid w:val="00C7074E"/>
    <w:rsid w:val="00C81AC3"/>
    <w:rsid w:val="00C82531"/>
    <w:rsid w:val="00C85074"/>
    <w:rsid w:val="00C92CA4"/>
    <w:rsid w:val="00CA502F"/>
    <w:rsid w:val="00CB1C08"/>
    <w:rsid w:val="00CB5B74"/>
    <w:rsid w:val="00CB5CD9"/>
    <w:rsid w:val="00CB65E6"/>
    <w:rsid w:val="00CC06E5"/>
    <w:rsid w:val="00CC3BE0"/>
    <w:rsid w:val="00CD152C"/>
    <w:rsid w:val="00CE4066"/>
    <w:rsid w:val="00CE568A"/>
    <w:rsid w:val="00CF28B8"/>
    <w:rsid w:val="00CF42B8"/>
    <w:rsid w:val="00D018A6"/>
    <w:rsid w:val="00D22079"/>
    <w:rsid w:val="00D45E2E"/>
    <w:rsid w:val="00D543B3"/>
    <w:rsid w:val="00D71D8C"/>
    <w:rsid w:val="00D73FF1"/>
    <w:rsid w:val="00D74FB2"/>
    <w:rsid w:val="00D8694E"/>
    <w:rsid w:val="00D90216"/>
    <w:rsid w:val="00D902E5"/>
    <w:rsid w:val="00DB2270"/>
    <w:rsid w:val="00DD1F91"/>
    <w:rsid w:val="00DD671E"/>
    <w:rsid w:val="00DE07B2"/>
    <w:rsid w:val="00DE7638"/>
    <w:rsid w:val="00DF2E68"/>
    <w:rsid w:val="00DF357B"/>
    <w:rsid w:val="00DF5AD6"/>
    <w:rsid w:val="00DF7440"/>
    <w:rsid w:val="00E02CE5"/>
    <w:rsid w:val="00E02EE4"/>
    <w:rsid w:val="00E03488"/>
    <w:rsid w:val="00E05415"/>
    <w:rsid w:val="00E177A3"/>
    <w:rsid w:val="00E24906"/>
    <w:rsid w:val="00E70D3F"/>
    <w:rsid w:val="00E74A0E"/>
    <w:rsid w:val="00E83AF4"/>
    <w:rsid w:val="00E94BE6"/>
    <w:rsid w:val="00EA106E"/>
    <w:rsid w:val="00EA217C"/>
    <w:rsid w:val="00EA2462"/>
    <w:rsid w:val="00EB07BD"/>
    <w:rsid w:val="00EB1C71"/>
    <w:rsid w:val="00EB28C6"/>
    <w:rsid w:val="00EC4997"/>
    <w:rsid w:val="00EE515E"/>
    <w:rsid w:val="00EE7B1E"/>
    <w:rsid w:val="00EF524E"/>
    <w:rsid w:val="00EF65D9"/>
    <w:rsid w:val="00EF781B"/>
    <w:rsid w:val="00F0318D"/>
    <w:rsid w:val="00F120E7"/>
    <w:rsid w:val="00F12752"/>
    <w:rsid w:val="00F15F35"/>
    <w:rsid w:val="00F20D51"/>
    <w:rsid w:val="00F279F4"/>
    <w:rsid w:val="00F44257"/>
    <w:rsid w:val="00F44CCE"/>
    <w:rsid w:val="00F470E2"/>
    <w:rsid w:val="00F47CCD"/>
    <w:rsid w:val="00F52E36"/>
    <w:rsid w:val="00F80735"/>
    <w:rsid w:val="00F8608B"/>
    <w:rsid w:val="00F94FA8"/>
    <w:rsid w:val="00FB38A1"/>
    <w:rsid w:val="00FB4689"/>
    <w:rsid w:val="00FC0899"/>
    <w:rsid w:val="00FC2AAD"/>
    <w:rsid w:val="00FC4FE7"/>
    <w:rsid w:val="00FC6BB5"/>
    <w:rsid w:val="00FD56E6"/>
    <w:rsid w:val="00FD70CC"/>
    <w:rsid w:val="00FE707D"/>
    <w:rsid w:val="00FF3D2D"/>
    <w:rsid w:val="00FF4AC9"/>
    <w:rsid w:val="00FF5B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D5D63C-D761-45EC-8C1A-A64C467C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329"/>
    <w:pPr>
      <w:widowControl w:val="0"/>
      <w:autoSpaceDE w:val="0"/>
      <w:autoSpaceDN w:val="0"/>
      <w:adjustRightInd w:val="0"/>
    </w:pPr>
    <w:rPr>
      <w:sz w:val="20"/>
      <w:szCs w:val="24"/>
      <w:lang w:val="es-ES" w:eastAsia="es-ES"/>
    </w:rPr>
  </w:style>
  <w:style w:type="paragraph" w:styleId="Heading1">
    <w:name w:val="heading 1"/>
    <w:basedOn w:val="Normal"/>
    <w:next w:val="Normal"/>
    <w:link w:val="Heading1Char"/>
    <w:uiPriority w:val="99"/>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rPr>
  </w:style>
  <w:style w:type="paragraph" w:styleId="Heading2">
    <w:name w:val="heading 2"/>
    <w:basedOn w:val="Normal"/>
    <w:next w:val="Normal"/>
    <w:link w:val="Heading2Char"/>
    <w:uiPriority w:val="99"/>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9"/>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rPr>
  </w:style>
  <w:style w:type="paragraph" w:styleId="Heading4">
    <w:name w:val="heading 4"/>
    <w:basedOn w:val="Normal"/>
    <w:next w:val="Normal"/>
    <w:link w:val="Heading4Char"/>
    <w:uiPriority w:val="99"/>
    <w:qFormat/>
    <w:rsid w:val="000528D1"/>
    <w:pPr>
      <w:keepNext/>
      <w:outlineLvl w:val="3"/>
    </w:pPr>
    <w:rPr>
      <w:b/>
      <w:bCs/>
      <w:szCs w:val="20"/>
    </w:rPr>
  </w:style>
  <w:style w:type="paragraph" w:styleId="Heading5">
    <w:name w:val="heading 5"/>
    <w:basedOn w:val="Normal"/>
    <w:next w:val="Normal"/>
    <w:link w:val="Heading5Char"/>
    <w:uiPriority w:val="99"/>
    <w:qFormat/>
    <w:rsid w:val="000528D1"/>
    <w:pPr>
      <w:keepNext/>
      <w:jc w:val="both"/>
      <w:outlineLvl w:val="4"/>
    </w:pPr>
    <w:rPr>
      <w:b/>
      <w:i/>
      <w:iCs/>
      <w:sz w:val="22"/>
      <w:u w:val="single"/>
    </w:rPr>
  </w:style>
  <w:style w:type="paragraph" w:styleId="Heading6">
    <w:name w:val="heading 6"/>
    <w:basedOn w:val="Normal"/>
    <w:next w:val="Normal"/>
    <w:link w:val="Heading6Char"/>
    <w:uiPriority w:val="99"/>
    <w:qFormat/>
    <w:rsid w:val="000528D1"/>
    <w:pPr>
      <w:keepNext/>
      <w:outlineLvl w:val="5"/>
    </w:pPr>
    <w:rPr>
      <w:i/>
      <w:iCs/>
      <w:sz w:val="23"/>
      <w:szCs w:val="23"/>
    </w:rPr>
  </w:style>
  <w:style w:type="paragraph" w:styleId="Heading7">
    <w:name w:val="heading 7"/>
    <w:basedOn w:val="Normal"/>
    <w:next w:val="Normal"/>
    <w:link w:val="Heading7Char"/>
    <w:uiPriority w:val="99"/>
    <w:qFormat/>
    <w:rsid w:val="000528D1"/>
    <w:pPr>
      <w:keepNext/>
      <w:jc w:val="center"/>
      <w:outlineLvl w:val="6"/>
    </w:pPr>
    <w:rPr>
      <w:b/>
      <w:bCs/>
      <w:sz w:val="26"/>
      <w:szCs w:val="26"/>
    </w:rPr>
  </w:style>
  <w:style w:type="paragraph" w:styleId="Heading8">
    <w:name w:val="heading 8"/>
    <w:basedOn w:val="Normal"/>
    <w:next w:val="Normal"/>
    <w:link w:val="Heading8Char"/>
    <w:uiPriority w:val="99"/>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rPr>
  </w:style>
  <w:style w:type="paragraph" w:styleId="Heading9">
    <w:name w:val="heading 9"/>
    <w:basedOn w:val="Normal"/>
    <w:next w:val="Normal"/>
    <w:link w:val="Heading9Char"/>
    <w:uiPriority w:val="99"/>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229"/>
    <w:rPr>
      <w:rFonts w:asciiTheme="majorHAnsi" w:eastAsiaTheme="majorEastAsia" w:hAnsiTheme="majorHAnsi" w:cstheme="majorBidi"/>
      <w:b/>
      <w:bCs/>
      <w:kern w:val="32"/>
      <w:sz w:val="32"/>
      <w:szCs w:val="32"/>
      <w:lang w:val="es-ES" w:eastAsia="es-ES"/>
    </w:rPr>
  </w:style>
  <w:style w:type="character" w:customStyle="1" w:styleId="Heading2Char">
    <w:name w:val="Heading 2 Char"/>
    <w:basedOn w:val="DefaultParagraphFont"/>
    <w:link w:val="Heading2"/>
    <w:uiPriority w:val="9"/>
    <w:semiHidden/>
    <w:rsid w:val="00DF5229"/>
    <w:rPr>
      <w:rFonts w:asciiTheme="majorHAnsi" w:eastAsiaTheme="majorEastAsia" w:hAnsiTheme="majorHAnsi" w:cstheme="majorBidi"/>
      <w:b/>
      <w:bCs/>
      <w:i/>
      <w:iCs/>
      <w:sz w:val="28"/>
      <w:szCs w:val="28"/>
      <w:lang w:val="es-ES" w:eastAsia="es-ES"/>
    </w:rPr>
  </w:style>
  <w:style w:type="character" w:customStyle="1" w:styleId="Heading3Char">
    <w:name w:val="Heading 3 Char"/>
    <w:basedOn w:val="DefaultParagraphFont"/>
    <w:link w:val="Heading3"/>
    <w:uiPriority w:val="9"/>
    <w:semiHidden/>
    <w:rsid w:val="00DF5229"/>
    <w:rPr>
      <w:rFonts w:asciiTheme="majorHAnsi" w:eastAsiaTheme="majorEastAsia" w:hAnsiTheme="majorHAnsi" w:cstheme="majorBidi"/>
      <w:b/>
      <w:bCs/>
      <w:sz w:val="26"/>
      <w:szCs w:val="26"/>
      <w:lang w:val="es-ES" w:eastAsia="es-ES"/>
    </w:rPr>
  </w:style>
  <w:style w:type="character" w:customStyle="1" w:styleId="Heading4Char">
    <w:name w:val="Heading 4 Char"/>
    <w:basedOn w:val="DefaultParagraphFont"/>
    <w:link w:val="Heading4"/>
    <w:uiPriority w:val="9"/>
    <w:semiHidden/>
    <w:rsid w:val="00DF5229"/>
    <w:rPr>
      <w:rFonts w:asciiTheme="minorHAnsi" w:eastAsiaTheme="minorEastAsia" w:hAnsiTheme="minorHAnsi" w:cstheme="minorBidi"/>
      <w:b/>
      <w:bCs/>
      <w:sz w:val="28"/>
      <w:szCs w:val="28"/>
      <w:lang w:val="es-ES" w:eastAsia="es-ES"/>
    </w:rPr>
  </w:style>
  <w:style w:type="character" w:customStyle="1" w:styleId="Heading5Char">
    <w:name w:val="Heading 5 Char"/>
    <w:basedOn w:val="DefaultParagraphFont"/>
    <w:link w:val="Heading5"/>
    <w:uiPriority w:val="9"/>
    <w:semiHidden/>
    <w:rsid w:val="00DF5229"/>
    <w:rPr>
      <w:rFonts w:asciiTheme="minorHAnsi" w:eastAsiaTheme="minorEastAsia" w:hAnsiTheme="minorHAnsi" w:cstheme="minorBidi"/>
      <w:b/>
      <w:bCs/>
      <w:i/>
      <w:iCs/>
      <w:sz w:val="26"/>
      <w:szCs w:val="26"/>
      <w:lang w:val="es-ES" w:eastAsia="es-ES"/>
    </w:rPr>
  </w:style>
  <w:style w:type="character" w:customStyle="1" w:styleId="Heading6Char">
    <w:name w:val="Heading 6 Char"/>
    <w:basedOn w:val="DefaultParagraphFont"/>
    <w:link w:val="Heading6"/>
    <w:uiPriority w:val="9"/>
    <w:semiHidden/>
    <w:rsid w:val="00DF5229"/>
    <w:rPr>
      <w:rFonts w:asciiTheme="minorHAnsi" w:eastAsiaTheme="minorEastAsia" w:hAnsiTheme="minorHAnsi" w:cstheme="minorBidi"/>
      <w:b/>
      <w:bCs/>
      <w:lang w:val="es-ES" w:eastAsia="es-ES"/>
    </w:rPr>
  </w:style>
  <w:style w:type="character" w:customStyle="1" w:styleId="Heading7Char">
    <w:name w:val="Heading 7 Char"/>
    <w:basedOn w:val="DefaultParagraphFont"/>
    <w:link w:val="Heading7"/>
    <w:uiPriority w:val="9"/>
    <w:semiHidden/>
    <w:rsid w:val="00DF5229"/>
    <w:rPr>
      <w:rFonts w:asciiTheme="minorHAnsi" w:eastAsiaTheme="minorEastAsia" w:hAnsiTheme="minorHAnsi" w:cstheme="minorBidi"/>
      <w:sz w:val="24"/>
      <w:szCs w:val="24"/>
      <w:lang w:val="es-ES" w:eastAsia="es-ES"/>
    </w:rPr>
  </w:style>
  <w:style w:type="character" w:customStyle="1" w:styleId="Heading8Char">
    <w:name w:val="Heading 8 Char"/>
    <w:basedOn w:val="DefaultParagraphFont"/>
    <w:link w:val="Heading8"/>
    <w:uiPriority w:val="9"/>
    <w:semiHidden/>
    <w:rsid w:val="00DF5229"/>
    <w:rPr>
      <w:rFonts w:asciiTheme="minorHAnsi" w:eastAsiaTheme="minorEastAsia" w:hAnsiTheme="minorHAnsi" w:cstheme="minorBidi"/>
      <w:i/>
      <w:iCs/>
      <w:sz w:val="24"/>
      <w:szCs w:val="24"/>
      <w:lang w:val="es-ES" w:eastAsia="es-ES"/>
    </w:rPr>
  </w:style>
  <w:style w:type="character" w:customStyle="1" w:styleId="Heading9Char">
    <w:name w:val="Heading 9 Char"/>
    <w:basedOn w:val="DefaultParagraphFont"/>
    <w:link w:val="Heading9"/>
    <w:uiPriority w:val="9"/>
    <w:semiHidden/>
    <w:rsid w:val="00DF5229"/>
    <w:rPr>
      <w:rFonts w:asciiTheme="majorHAnsi" w:eastAsiaTheme="majorEastAsia" w:hAnsiTheme="majorHAnsi" w:cstheme="majorBidi"/>
      <w:lang w:val="es-ES" w:eastAsia="es-ES"/>
    </w:rPr>
  </w:style>
  <w:style w:type="character" w:styleId="FootnoteReference">
    <w:name w:val="footnote reference"/>
    <w:basedOn w:val="DefaultParagraphFont"/>
    <w:uiPriority w:val="99"/>
    <w:rsid w:val="000528D1"/>
    <w:rPr>
      <w:rFonts w:cs="Times New Roman"/>
    </w:rPr>
  </w:style>
  <w:style w:type="paragraph" w:customStyle="1" w:styleId="Level1">
    <w:name w:val="Level 1"/>
    <w:basedOn w:val="Normal"/>
    <w:uiPriority w:val="99"/>
    <w:rsid w:val="000528D1"/>
    <w:pPr>
      <w:numPr>
        <w:numId w:val="1"/>
      </w:numPr>
      <w:ind w:left="566" w:hanging="566"/>
      <w:outlineLvl w:val="0"/>
    </w:pPr>
  </w:style>
  <w:style w:type="paragraph" w:customStyle="1" w:styleId="Level2">
    <w:name w:val="Level 2"/>
    <w:basedOn w:val="Normal"/>
    <w:uiPriority w:val="99"/>
    <w:rsid w:val="000528D1"/>
    <w:pPr>
      <w:numPr>
        <w:ilvl w:val="1"/>
        <w:numId w:val="1"/>
      </w:numPr>
      <w:ind w:left="1132" w:hanging="566"/>
      <w:outlineLvl w:val="1"/>
    </w:pPr>
  </w:style>
  <w:style w:type="paragraph" w:customStyle="1" w:styleId="Level3">
    <w:name w:val="Level 3"/>
    <w:basedOn w:val="Normal"/>
    <w:uiPriority w:val="99"/>
    <w:rsid w:val="000528D1"/>
    <w:pPr>
      <w:numPr>
        <w:ilvl w:val="2"/>
        <w:numId w:val="1"/>
      </w:numPr>
      <w:ind w:left="1700" w:hanging="568"/>
      <w:outlineLvl w:val="2"/>
    </w:pPr>
  </w:style>
  <w:style w:type="paragraph" w:customStyle="1" w:styleId="1AutoList1">
    <w:name w:val="1AutoList1"/>
    <w:uiPriority w:val="99"/>
    <w:rsid w:val="000528D1"/>
    <w:pPr>
      <w:widowControl w:val="0"/>
      <w:tabs>
        <w:tab w:val="left" w:pos="720"/>
      </w:tabs>
      <w:autoSpaceDE w:val="0"/>
      <w:autoSpaceDN w:val="0"/>
      <w:adjustRightInd w:val="0"/>
      <w:ind w:left="720" w:hanging="720"/>
      <w:jc w:val="both"/>
    </w:pPr>
    <w:rPr>
      <w:sz w:val="24"/>
      <w:szCs w:val="24"/>
      <w:lang w:val="es-ES" w:eastAsia="es-ES"/>
    </w:rPr>
  </w:style>
  <w:style w:type="paragraph" w:customStyle="1" w:styleId="Preformatted">
    <w:name w:val="Preformatted"/>
    <w:uiPriority w:val="99"/>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sz w:val="20"/>
      <w:szCs w:val="20"/>
      <w:lang w:val="es-ES" w:eastAsia="es-ES"/>
    </w:rPr>
  </w:style>
  <w:style w:type="paragraph" w:customStyle="1" w:styleId="footnotetex">
    <w:name w:val="footnote tex"/>
    <w:uiPriority w:val="99"/>
    <w:rsid w:val="000528D1"/>
    <w:pPr>
      <w:widowControl w:val="0"/>
      <w:autoSpaceDE w:val="0"/>
      <w:autoSpaceDN w:val="0"/>
      <w:adjustRightInd w:val="0"/>
      <w:jc w:val="both"/>
    </w:pPr>
    <w:rPr>
      <w:sz w:val="20"/>
      <w:szCs w:val="20"/>
      <w:lang w:val="es-ES" w:eastAsia="es-ES"/>
    </w:rPr>
  </w:style>
  <w:style w:type="character" w:styleId="PageNumber">
    <w:name w:val="page number"/>
    <w:basedOn w:val="DefaultParagraphFont"/>
    <w:uiPriority w:val="99"/>
    <w:rsid w:val="000528D1"/>
    <w:rPr>
      <w:rFonts w:cs="Times New Roman"/>
    </w:rPr>
  </w:style>
  <w:style w:type="paragraph" w:styleId="Header">
    <w:name w:val="header"/>
    <w:basedOn w:val="Normal"/>
    <w:link w:val="HeaderChar"/>
    <w:rsid w:val="000528D1"/>
    <w:pPr>
      <w:tabs>
        <w:tab w:val="center" w:pos="4153"/>
        <w:tab w:val="right" w:pos="8306"/>
      </w:tabs>
    </w:pPr>
    <w:rPr>
      <w:szCs w:val="20"/>
    </w:rPr>
  </w:style>
  <w:style w:type="character" w:customStyle="1" w:styleId="HeaderChar">
    <w:name w:val="Header Char"/>
    <w:basedOn w:val="DefaultParagraphFont"/>
    <w:link w:val="Header"/>
    <w:uiPriority w:val="99"/>
    <w:semiHidden/>
    <w:rsid w:val="00DF5229"/>
    <w:rPr>
      <w:sz w:val="20"/>
      <w:szCs w:val="24"/>
      <w:lang w:val="es-ES" w:eastAsia="es-ES"/>
    </w:rPr>
  </w:style>
  <w:style w:type="paragraph" w:styleId="Footer">
    <w:name w:val="footer"/>
    <w:basedOn w:val="Normal"/>
    <w:link w:val="FooterChar"/>
    <w:uiPriority w:val="99"/>
    <w:rsid w:val="000528D1"/>
    <w:pPr>
      <w:tabs>
        <w:tab w:val="center" w:pos="4320"/>
        <w:tab w:val="right" w:pos="8640"/>
      </w:tabs>
    </w:pPr>
  </w:style>
  <w:style w:type="character" w:customStyle="1" w:styleId="FooterChar">
    <w:name w:val="Footer Char"/>
    <w:basedOn w:val="DefaultParagraphFont"/>
    <w:link w:val="Footer"/>
    <w:uiPriority w:val="99"/>
    <w:locked/>
    <w:rsid w:val="0005753E"/>
    <w:rPr>
      <w:sz w:val="24"/>
    </w:rPr>
  </w:style>
  <w:style w:type="paragraph" w:styleId="BodyTextIndent">
    <w:name w:val="Body Text Indent"/>
    <w:basedOn w:val="Normal"/>
    <w:link w:val="BodyTextIndentChar"/>
    <w:uiPriority w:val="99"/>
    <w:rsid w:val="000528D1"/>
    <w:pPr>
      <w:ind w:left="720" w:hanging="720"/>
      <w:jc w:val="both"/>
    </w:pPr>
    <w:rPr>
      <w:sz w:val="22"/>
    </w:rPr>
  </w:style>
  <w:style w:type="character" w:customStyle="1" w:styleId="BodyTextIndentChar">
    <w:name w:val="Body Text Indent Char"/>
    <w:basedOn w:val="DefaultParagraphFont"/>
    <w:link w:val="BodyTextIndent"/>
    <w:uiPriority w:val="99"/>
    <w:semiHidden/>
    <w:rsid w:val="00DF5229"/>
    <w:rPr>
      <w:sz w:val="20"/>
      <w:szCs w:val="24"/>
      <w:lang w:val="es-ES" w:eastAsia="es-ES"/>
    </w:rPr>
  </w:style>
  <w:style w:type="paragraph" w:styleId="BodyText">
    <w:name w:val="Body Text"/>
    <w:basedOn w:val="Normal"/>
    <w:link w:val="BodyTextChar"/>
    <w:uiPriority w:val="99"/>
    <w:rsid w:val="000528D1"/>
    <w:pPr>
      <w:jc w:val="both"/>
    </w:pPr>
    <w:rPr>
      <w:sz w:val="22"/>
    </w:rPr>
  </w:style>
  <w:style w:type="character" w:customStyle="1" w:styleId="BodyTextChar">
    <w:name w:val="Body Text Char"/>
    <w:basedOn w:val="DefaultParagraphFont"/>
    <w:link w:val="BodyText"/>
    <w:uiPriority w:val="99"/>
    <w:semiHidden/>
    <w:rsid w:val="00DF5229"/>
    <w:rPr>
      <w:sz w:val="20"/>
      <w:szCs w:val="24"/>
      <w:lang w:val="es-ES" w:eastAsia="es-ES"/>
    </w:rPr>
  </w:style>
  <w:style w:type="character" w:styleId="Hyperlink">
    <w:name w:val="Hyperlink"/>
    <w:basedOn w:val="DefaultParagraphFont"/>
    <w:uiPriority w:val="99"/>
    <w:rsid w:val="000528D1"/>
    <w:rPr>
      <w:rFonts w:cs="Times New Roman"/>
      <w:color w:val="0000FF"/>
      <w:u w:val="single"/>
    </w:rPr>
  </w:style>
  <w:style w:type="paragraph" w:styleId="FootnoteText">
    <w:name w:val="footnote text"/>
    <w:basedOn w:val="Normal"/>
    <w:link w:val="FootnoteTextChar"/>
    <w:uiPriority w:val="99"/>
    <w:rsid w:val="000528D1"/>
    <w:rPr>
      <w:szCs w:val="20"/>
    </w:rPr>
  </w:style>
  <w:style w:type="character" w:customStyle="1" w:styleId="FootnoteTextChar">
    <w:name w:val="Footnote Text Char"/>
    <w:basedOn w:val="DefaultParagraphFont"/>
    <w:link w:val="FootnoteText"/>
    <w:uiPriority w:val="99"/>
    <w:locked/>
    <w:rsid w:val="00B45C51"/>
    <w:rPr>
      <w:rFonts w:cs="Times New Roman"/>
    </w:rPr>
  </w:style>
  <w:style w:type="paragraph" w:styleId="BodyText2">
    <w:name w:val="Body Text 2"/>
    <w:basedOn w:val="Normal"/>
    <w:link w:val="BodyText2Char"/>
    <w:uiPriority w:val="99"/>
    <w:rsid w:val="000528D1"/>
    <w:rPr>
      <w:sz w:val="22"/>
    </w:rPr>
  </w:style>
  <w:style w:type="character" w:customStyle="1" w:styleId="BodyText2Char">
    <w:name w:val="Body Text 2 Char"/>
    <w:basedOn w:val="DefaultParagraphFont"/>
    <w:link w:val="BodyText2"/>
    <w:uiPriority w:val="99"/>
    <w:semiHidden/>
    <w:rsid w:val="00DF5229"/>
    <w:rPr>
      <w:sz w:val="20"/>
      <w:szCs w:val="24"/>
      <w:lang w:val="es-ES" w:eastAsia="es-ES"/>
    </w:rPr>
  </w:style>
  <w:style w:type="paragraph" w:styleId="BalloonText">
    <w:name w:val="Balloon Text"/>
    <w:basedOn w:val="Normal"/>
    <w:link w:val="BalloonTextChar"/>
    <w:uiPriority w:val="99"/>
    <w:semiHidden/>
    <w:rsid w:val="000528D1"/>
    <w:rPr>
      <w:rFonts w:ascii="Tahoma" w:hAnsi="Tahoma" w:cs="Tahoma"/>
      <w:sz w:val="16"/>
      <w:szCs w:val="16"/>
    </w:rPr>
  </w:style>
  <w:style w:type="character" w:customStyle="1" w:styleId="BalloonTextChar">
    <w:name w:val="Balloon Text Char"/>
    <w:basedOn w:val="DefaultParagraphFont"/>
    <w:link w:val="BalloonText"/>
    <w:uiPriority w:val="99"/>
    <w:semiHidden/>
    <w:rsid w:val="00DF5229"/>
    <w:rPr>
      <w:sz w:val="0"/>
      <w:szCs w:val="0"/>
      <w:lang w:val="es-ES" w:eastAsia="es-ES"/>
    </w:rPr>
  </w:style>
  <w:style w:type="paragraph" w:styleId="BodyText3">
    <w:name w:val="Body Text 3"/>
    <w:basedOn w:val="Normal"/>
    <w:link w:val="BodyText3Char"/>
    <w:uiPriority w:val="99"/>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rPr>
  </w:style>
  <w:style w:type="character" w:customStyle="1" w:styleId="BodyText3Char">
    <w:name w:val="Body Text 3 Char"/>
    <w:basedOn w:val="DefaultParagraphFont"/>
    <w:link w:val="BodyText3"/>
    <w:uiPriority w:val="99"/>
    <w:semiHidden/>
    <w:rsid w:val="00DF5229"/>
    <w:rPr>
      <w:sz w:val="16"/>
      <w:szCs w:val="16"/>
      <w:lang w:val="es-ES" w:eastAsia="es-ES"/>
    </w:rPr>
  </w:style>
  <w:style w:type="paragraph" w:styleId="BlockText">
    <w:name w:val="Block Text"/>
    <w:basedOn w:val="Normal"/>
    <w:uiPriority w:val="99"/>
    <w:rsid w:val="000528D1"/>
    <w:pPr>
      <w:ind w:left="1418" w:right="283" w:hanging="709"/>
    </w:pPr>
    <w:rPr>
      <w:sz w:val="24"/>
      <w:szCs w:val="23"/>
    </w:rPr>
  </w:style>
  <w:style w:type="paragraph" w:customStyle="1" w:styleId="Standard">
    <w:name w:val="Standard"/>
    <w:basedOn w:val="Normal"/>
    <w:uiPriority w:val="99"/>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customStyle="1" w:styleId="ColorfulList-Accent11">
    <w:name w:val="Colorful List - Accent 11"/>
    <w:basedOn w:val="Normal"/>
    <w:uiPriority w:val="99"/>
    <w:rsid w:val="00596E10"/>
    <w:pPr>
      <w:ind w:left="720"/>
      <w:contextualSpacing/>
    </w:pPr>
  </w:style>
  <w:style w:type="character" w:styleId="CommentReference">
    <w:name w:val="annotation reference"/>
    <w:basedOn w:val="DefaultParagraphFont"/>
    <w:uiPriority w:val="99"/>
    <w:semiHidden/>
    <w:rsid w:val="00804AA2"/>
    <w:rPr>
      <w:rFonts w:cs="Times New Roman"/>
      <w:sz w:val="16"/>
    </w:rPr>
  </w:style>
  <w:style w:type="paragraph" w:styleId="CommentText">
    <w:name w:val="annotation text"/>
    <w:basedOn w:val="Normal"/>
    <w:link w:val="CommentTextChar"/>
    <w:uiPriority w:val="99"/>
    <w:semiHidden/>
    <w:rsid w:val="00804AA2"/>
    <w:rPr>
      <w:szCs w:val="20"/>
    </w:rPr>
  </w:style>
  <w:style w:type="character" w:customStyle="1" w:styleId="CommentTextChar">
    <w:name w:val="Comment Text Char"/>
    <w:basedOn w:val="DefaultParagraphFont"/>
    <w:link w:val="CommentText"/>
    <w:uiPriority w:val="99"/>
    <w:semiHidden/>
    <w:locked/>
    <w:rsid w:val="00804AA2"/>
    <w:rPr>
      <w:rFonts w:cs="Times New Roman"/>
    </w:rPr>
  </w:style>
  <w:style w:type="paragraph" w:styleId="CommentSubject">
    <w:name w:val="annotation subject"/>
    <w:basedOn w:val="CommentText"/>
    <w:next w:val="CommentText"/>
    <w:link w:val="CommentSubjectChar"/>
    <w:uiPriority w:val="99"/>
    <w:semiHidden/>
    <w:rsid w:val="00804AA2"/>
    <w:rPr>
      <w:b/>
      <w:bCs/>
    </w:rPr>
  </w:style>
  <w:style w:type="character" w:customStyle="1" w:styleId="CommentSubjectChar">
    <w:name w:val="Comment Subject Char"/>
    <w:basedOn w:val="CommentTextChar"/>
    <w:link w:val="CommentSubject"/>
    <w:uiPriority w:val="99"/>
    <w:semiHidden/>
    <w:locked/>
    <w:rsid w:val="00804AA2"/>
    <w:rPr>
      <w:rFonts w:cs="Times New Roman"/>
      <w:b/>
    </w:rPr>
  </w:style>
  <w:style w:type="paragraph" w:styleId="EndnoteText">
    <w:name w:val="endnote text"/>
    <w:basedOn w:val="Normal"/>
    <w:link w:val="EndnoteTextChar"/>
    <w:uiPriority w:val="99"/>
    <w:semiHidden/>
    <w:rsid w:val="00BA0FA8"/>
    <w:rPr>
      <w:szCs w:val="20"/>
    </w:rPr>
  </w:style>
  <w:style w:type="character" w:customStyle="1" w:styleId="EndnoteTextChar">
    <w:name w:val="Endnote Text Char"/>
    <w:basedOn w:val="DefaultParagraphFont"/>
    <w:link w:val="EndnoteText"/>
    <w:uiPriority w:val="99"/>
    <w:semiHidden/>
    <w:locked/>
    <w:rsid w:val="00BA0FA8"/>
    <w:rPr>
      <w:rFonts w:cs="Times New Roman"/>
    </w:rPr>
  </w:style>
  <w:style w:type="character" w:styleId="EndnoteReference">
    <w:name w:val="endnote reference"/>
    <w:basedOn w:val="DefaultParagraphFont"/>
    <w:uiPriority w:val="99"/>
    <w:semiHidden/>
    <w:rsid w:val="00BA0FA8"/>
    <w:rPr>
      <w:rFonts w:cs="Times New Roman"/>
      <w:vertAlign w:val="superscript"/>
    </w:rPr>
  </w:style>
  <w:style w:type="character" w:styleId="Emphasis">
    <w:name w:val="Emphasis"/>
    <w:basedOn w:val="DefaultParagraphFont"/>
    <w:uiPriority w:val="99"/>
    <w:qFormat/>
    <w:rsid w:val="00F47CCD"/>
    <w:rPr>
      <w:rFonts w:cs="Times New Roman"/>
      <w:i/>
    </w:rPr>
  </w:style>
  <w:style w:type="paragraph" w:styleId="NormalWeb">
    <w:name w:val="Normal (Web)"/>
    <w:basedOn w:val="Normal"/>
    <w:uiPriority w:val="99"/>
    <w:rsid w:val="00F47CCD"/>
    <w:pPr>
      <w:widowControl/>
      <w:autoSpaceDE/>
      <w:autoSpaceDN/>
      <w:adjustRightInd/>
      <w:spacing w:before="100" w:beforeAutospacing="1" w:after="100" w:afterAutospacing="1"/>
    </w:pPr>
    <w:rPr>
      <w:sz w:val="24"/>
    </w:rPr>
  </w:style>
  <w:style w:type="character" w:styleId="Strong">
    <w:name w:val="Strong"/>
    <w:basedOn w:val="DefaultParagraphFont"/>
    <w:uiPriority w:val="99"/>
    <w:qFormat/>
    <w:rsid w:val="00F47CCD"/>
    <w:rPr>
      <w:rFonts w:cs="Times New Roman"/>
      <w:b/>
    </w:rPr>
  </w:style>
  <w:style w:type="paragraph" w:customStyle="1" w:styleId="MediumGrid21">
    <w:name w:val="Medium Grid 21"/>
    <w:uiPriority w:val="99"/>
    <w:rsid w:val="008F7C5D"/>
    <w:rPr>
      <w:rFonts w:ascii="Calibri" w:hAnsi="Calibri" w:cs="Calibri"/>
      <w:lang w:val="es-ES" w:eastAsia="es-ES"/>
    </w:rPr>
  </w:style>
  <w:style w:type="table" w:styleId="TableGrid">
    <w:name w:val="Table Grid"/>
    <w:basedOn w:val="TableNormal"/>
    <w:uiPriority w:val="99"/>
    <w:rsid w:val="008F7C5D"/>
    <w:rPr>
      <w:rFonts w:ascii="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99"/>
    <w:rsid w:val="00EF781B"/>
    <w:rPr>
      <w:color w:val="000000"/>
      <w:sz w:val="20"/>
      <w:szCs w:val="2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Shading1-Accent1">
    <w:name w:val="Medium Shading 1 Accent 1"/>
    <w:basedOn w:val="TableNormal"/>
    <w:uiPriority w:val="99"/>
    <w:rsid w:val="00EF781B"/>
    <w:rPr>
      <w:rFonts w:ascii="Cambria" w:hAnsi="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customStyle="1" w:styleId="ListParagraph1">
    <w:name w:val="List Paragraph1"/>
    <w:uiPriority w:val="99"/>
    <w:rsid w:val="00EF781B"/>
    <w:rPr>
      <w:color w:val="000000"/>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Grid1-Accent6">
    <w:name w:val="Medium Grid 1 Accent 6"/>
    <w:basedOn w:val="TableNormal"/>
    <w:uiPriority w:val="99"/>
    <w:rsid w:val="00EF781B"/>
    <w:rPr>
      <w:color w:val="000000"/>
      <w:sz w:val="20"/>
      <w:szCs w:val="2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character" w:styleId="FollowedHyperlink">
    <w:name w:val="FollowedHyperlink"/>
    <w:basedOn w:val="DefaultParagraphFont"/>
    <w:uiPriority w:val="99"/>
    <w:semiHidden/>
    <w:rsid w:val="00EF781B"/>
    <w:rPr>
      <w:rFonts w:cs="Times New Roman"/>
      <w:color w:val="800080"/>
      <w:u w:val="single"/>
    </w:rPr>
  </w:style>
  <w:style w:type="character" w:customStyle="1" w:styleId="apple-converted-space">
    <w:name w:val="apple-converted-space"/>
    <w:basedOn w:val="DefaultParagraphFont"/>
    <w:uiPriority w:val="99"/>
    <w:rsid w:val="001A20B2"/>
    <w:rPr>
      <w:rFonts w:cs="Times New Roman"/>
    </w:rPr>
  </w:style>
  <w:style w:type="paragraph" w:styleId="PlainText">
    <w:name w:val="Plain Text"/>
    <w:basedOn w:val="Normal"/>
    <w:link w:val="PlainTextChar"/>
    <w:uiPriority w:val="99"/>
    <w:rsid w:val="000C78FA"/>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locked/>
    <w:rsid w:val="000C78FA"/>
    <w:rPr>
      <w:rFonts w:ascii="Calibri" w:eastAsia="Times New Roman" w:hAnsi="Calibri"/>
      <w:sz w:val="21"/>
    </w:rPr>
  </w:style>
  <w:style w:type="paragraph" w:styleId="ListParagraph">
    <w:name w:val="List Paragraph"/>
    <w:basedOn w:val="Normal"/>
    <w:uiPriority w:val="99"/>
    <w:qFormat/>
    <w:rsid w:val="00B45C51"/>
    <w:pPr>
      <w:ind w:left="720"/>
      <w:contextualSpacing/>
    </w:pPr>
  </w:style>
  <w:style w:type="numbering" w:customStyle="1" w:styleId="Style1">
    <w:name w:val="Style1"/>
    <w:rsid w:val="00DF522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405540">
      <w:marLeft w:val="0"/>
      <w:marRight w:val="0"/>
      <w:marTop w:val="0"/>
      <w:marBottom w:val="0"/>
      <w:divBdr>
        <w:top w:val="none" w:sz="0" w:space="0" w:color="auto"/>
        <w:left w:val="none" w:sz="0" w:space="0" w:color="auto"/>
        <w:bottom w:val="none" w:sz="0" w:space="0" w:color="auto"/>
        <w:right w:val="none" w:sz="0" w:space="0" w:color="auto"/>
      </w:divBdr>
    </w:div>
    <w:div w:id="757405541">
      <w:marLeft w:val="0"/>
      <w:marRight w:val="0"/>
      <w:marTop w:val="0"/>
      <w:marBottom w:val="0"/>
      <w:divBdr>
        <w:top w:val="none" w:sz="0" w:space="0" w:color="auto"/>
        <w:left w:val="none" w:sz="0" w:space="0" w:color="auto"/>
        <w:bottom w:val="none" w:sz="0" w:space="0" w:color="auto"/>
        <w:right w:val="none" w:sz="0" w:space="0" w:color="auto"/>
      </w:divBdr>
    </w:div>
    <w:div w:id="757405542">
      <w:marLeft w:val="0"/>
      <w:marRight w:val="0"/>
      <w:marTop w:val="0"/>
      <w:marBottom w:val="0"/>
      <w:divBdr>
        <w:top w:val="none" w:sz="0" w:space="0" w:color="auto"/>
        <w:left w:val="none" w:sz="0" w:space="0" w:color="auto"/>
        <w:bottom w:val="none" w:sz="0" w:space="0" w:color="auto"/>
        <w:right w:val="none" w:sz="0" w:space="0" w:color="auto"/>
      </w:divBdr>
    </w:div>
    <w:div w:id="757405543">
      <w:marLeft w:val="0"/>
      <w:marRight w:val="0"/>
      <w:marTop w:val="0"/>
      <w:marBottom w:val="0"/>
      <w:divBdr>
        <w:top w:val="none" w:sz="0" w:space="0" w:color="auto"/>
        <w:left w:val="none" w:sz="0" w:space="0" w:color="auto"/>
        <w:bottom w:val="none" w:sz="0" w:space="0" w:color="auto"/>
        <w:right w:val="none" w:sz="0" w:space="0" w:color="auto"/>
      </w:divBdr>
    </w:div>
    <w:div w:id="757405544">
      <w:marLeft w:val="0"/>
      <w:marRight w:val="0"/>
      <w:marTop w:val="0"/>
      <w:marBottom w:val="0"/>
      <w:divBdr>
        <w:top w:val="none" w:sz="0" w:space="0" w:color="auto"/>
        <w:left w:val="none" w:sz="0" w:space="0" w:color="auto"/>
        <w:bottom w:val="none" w:sz="0" w:space="0" w:color="auto"/>
        <w:right w:val="none" w:sz="0" w:space="0" w:color="auto"/>
      </w:divBdr>
    </w:div>
    <w:div w:id="757405545">
      <w:marLeft w:val="0"/>
      <w:marRight w:val="0"/>
      <w:marTop w:val="0"/>
      <w:marBottom w:val="0"/>
      <w:divBdr>
        <w:top w:val="none" w:sz="0" w:space="0" w:color="auto"/>
        <w:left w:val="none" w:sz="0" w:space="0" w:color="auto"/>
        <w:bottom w:val="none" w:sz="0" w:space="0" w:color="auto"/>
        <w:right w:val="none" w:sz="0" w:space="0" w:color="auto"/>
      </w:divBdr>
    </w:div>
    <w:div w:id="757405546">
      <w:marLeft w:val="0"/>
      <w:marRight w:val="0"/>
      <w:marTop w:val="0"/>
      <w:marBottom w:val="0"/>
      <w:divBdr>
        <w:top w:val="none" w:sz="0" w:space="0" w:color="auto"/>
        <w:left w:val="none" w:sz="0" w:space="0" w:color="auto"/>
        <w:bottom w:val="none" w:sz="0" w:space="0" w:color="auto"/>
        <w:right w:val="none" w:sz="0" w:space="0" w:color="auto"/>
      </w:divBdr>
    </w:div>
    <w:div w:id="757405547">
      <w:marLeft w:val="0"/>
      <w:marRight w:val="0"/>
      <w:marTop w:val="0"/>
      <w:marBottom w:val="0"/>
      <w:divBdr>
        <w:top w:val="none" w:sz="0" w:space="0" w:color="auto"/>
        <w:left w:val="none" w:sz="0" w:space="0" w:color="auto"/>
        <w:bottom w:val="none" w:sz="0" w:space="0" w:color="auto"/>
        <w:right w:val="none" w:sz="0" w:space="0" w:color="auto"/>
      </w:divBdr>
    </w:div>
    <w:div w:id="757405548">
      <w:marLeft w:val="0"/>
      <w:marRight w:val="0"/>
      <w:marTop w:val="0"/>
      <w:marBottom w:val="0"/>
      <w:divBdr>
        <w:top w:val="none" w:sz="0" w:space="0" w:color="auto"/>
        <w:left w:val="none" w:sz="0" w:space="0" w:color="auto"/>
        <w:bottom w:val="none" w:sz="0" w:space="0" w:color="auto"/>
        <w:right w:val="none" w:sz="0" w:space="0" w:color="auto"/>
      </w:divBdr>
    </w:div>
    <w:div w:id="757405549">
      <w:marLeft w:val="0"/>
      <w:marRight w:val="0"/>
      <w:marTop w:val="0"/>
      <w:marBottom w:val="0"/>
      <w:divBdr>
        <w:top w:val="none" w:sz="0" w:space="0" w:color="auto"/>
        <w:left w:val="none" w:sz="0" w:space="0" w:color="auto"/>
        <w:bottom w:val="none" w:sz="0" w:space="0" w:color="auto"/>
        <w:right w:val="none" w:sz="0" w:space="0" w:color="auto"/>
      </w:divBdr>
    </w:div>
    <w:div w:id="7574055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3777</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lpstr>
    </vt:vector>
  </TitlesOfParts>
  <Company>United Nations Volunteers (UNV) programme</Company>
  <LinksUpToDate>false</LinksUpToDate>
  <CharactersWithSpaces>23889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Linette Eitz Lamare</dc:creator>
  <cp:keywords/>
  <dc:description/>
  <cp:lastModifiedBy>Eva Meyers</cp:lastModifiedBy>
  <cp:revision>13</cp:revision>
  <cp:lastPrinted>2016-01-14T10:01:00Z</cp:lastPrinted>
  <dcterms:created xsi:type="dcterms:W3CDTF">2016-01-15T15:18:00Z</dcterms:created>
  <dcterms:modified xsi:type="dcterms:W3CDTF">2016-01-18T15:55:00Z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