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94"/>
        <w:tblW w:w="954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4594"/>
        <w:gridCol w:w="3420"/>
      </w:tblGrid>
      <w:tr w:rsidR="00B25614" w:rsidRPr="00FD56E6" w:rsidTr="00F73717">
        <w:trPr>
          <w:cantSplit/>
          <w:trHeight w:val="725"/>
        </w:trPr>
        <w:tc>
          <w:tcPr>
            <w:tcW w:w="9540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:rsidR="00B25614" w:rsidRPr="00FD56E6" w:rsidRDefault="00F73717" w:rsidP="00F10A48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en-GB"/>
              </w:rPr>
            </w:pPr>
            <w:r w:rsidRPr="00F9613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F19FE9" wp14:editId="69909E69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7" name="Picture 8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8BD365" wp14:editId="693996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39165" cy="506730"/>
                  <wp:effectExtent l="0" t="0" r="0" b="0"/>
                  <wp:wrapTight wrapText="bothSides">
                    <wp:wrapPolygon edited="0">
                      <wp:start x="2191" y="2436"/>
                      <wp:lineTo x="1314" y="14617"/>
                      <wp:lineTo x="1314" y="18677"/>
                      <wp:lineTo x="19716" y="18677"/>
                      <wp:lineTo x="19278" y="5684"/>
                      <wp:lineTo x="18840" y="2436"/>
                      <wp:lineTo x="2191" y="2436"/>
                    </wp:wrapPolygon>
                  </wp:wrapTight>
                  <wp:docPr id="12" name="Picture 12" descr="UNEnvironment_Logo_Spanis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Environment_Logo_Spanis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5614" w:rsidRPr="00FD56E6">
              <w:rPr>
                <w:sz w:val="22"/>
                <w:szCs w:val="22"/>
                <w:lang w:val="en-GB"/>
              </w:rPr>
              <w:tab/>
            </w:r>
          </w:p>
        </w:tc>
      </w:tr>
      <w:tr w:rsidR="00B25614" w:rsidRPr="00D24407" w:rsidTr="00F73717">
        <w:trPr>
          <w:trHeight w:val="1586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D56E6" w:rsidRDefault="00B25614" w:rsidP="00F10A4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A1A0D1" wp14:editId="16A32CA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:rsidR="00B25614" w:rsidRPr="00F73717" w:rsidRDefault="003F19C8" w:rsidP="00F73717">
            <w:pPr>
              <w:spacing w:before="40"/>
              <w:ind w:left="27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MEMORANDO DE ENTENDIMIENTO SOBRE LA CONSERVACI</w:t>
            </w:r>
            <w:r w:rsidRPr="009A5554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Ó</w:t>
            </w:r>
            <w:r w:rsidRPr="00F73717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 DE TIBURONES MIGRATORIOS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:rsidR="00B25614" w:rsidRDefault="007631D7" w:rsidP="007631D7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fr-FR"/>
              </w:rPr>
              <w:t>/MOS</w:t>
            </w:r>
            <w:r w:rsidR="006E6D52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/CRP</w:t>
            </w:r>
            <w:r w:rsidR="00D24407">
              <w:rPr>
                <w:rFonts w:ascii="Arial" w:hAnsi="Arial" w:cs="Arial"/>
                <w:sz w:val="22"/>
                <w:szCs w:val="22"/>
                <w:lang w:val="fr-FR"/>
              </w:rPr>
              <w:t>12</w:t>
            </w:r>
          </w:p>
          <w:p w:rsidR="007631D7" w:rsidRPr="00766125" w:rsidRDefault="00D24407" w:rsidP="007631D7">
            <w:pPr>
              <w:spacing w:before="40" w:after="40"/>
              <w:jc w:val="both"/>
              <w:rPr>
                <w:sz w:val="22"/>
                <w:szCs w:val="22"/>
                <w:lang w:val="fr-FR"/>
              </w:rPr>
            </w:pPr>
            <w:r w:rsidRPr="00D24407">
              <w:rPr>
                <w:rFonts w:ascii="Arial" w:hAnsi="Arial" w:cs="Arial"/>
                <w:sz w:val="22"/>
                <w:szCs w:val="22"/>
                <w:lang w:val="fr-FR"/>
              </w:rPr>
              <w:t>13</w:t>
            </w:r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>diciembre</w:t>
            </w:r>
            <w:proofErr w:type="spellEnd"/>
            <w:r w:rsidR="007631D7">
              <w:rPr>
                <w:rFonts w:ascii="Arial" w:hAnsi="Arial" w:cs="Arial"/>
                <w:sz w:val="22"/>
                <w:szCs w:val="22"/>
                <w:lang w:val="fr-FR"/>
              </w:rPr>
              <w:t xml:space="preserve"> de 2018</w:t>
            </w:r>
          </w:p>
        </w:tc>
      </w:tr>
    </w:tbl>
    <w:p w:rsidR="003F19C8" w:rsidRPr="00F73717" w:rsidRDefault="003F19C8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F73717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25614" w:rsidRDefault="00B25614" w:rsidP="00B25614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D24407" w:rsidRPr="00D24407" w:rsidRDefault="00D24407" w:rsidP="00D24407">
      <w:pPr>
        <w:jc w:val="center"/>
        <w:rPr>
          <w:rFonts w:ascii="Arial" w:hAnsi="Arial"/>
          <w:sz w:val="22"/>
          <w:szCs w:val="22"/>
          <w:lang w:val="pt-PT"/>
        </w:rPr>
      </w:pPr>
      <w:r w:rsidRPr="00D24407">
        <w:rPr>
          <w:rFonts w:ascii="Arial" w:hAnsi="Arial" w:cs="Arial"/>
          <w:sz w:val="22"/>
          <w:szCs w:val="22"/>
          <w:lang w:val="es-ES"/>
        </w:rPr>
        <w:t>(del</w:t>
      </w:r>
      <w:r w:rsidRPr="00D24407">
        <w:rPr>
          <w:rFonts w:ascii="Arial" w:hAnsi="Arial"/>
          <w:sz w:val="22"/>
          <w:szCs w:val="22"/>
          <w:lang w:val="pt-PT"/>
        </w:rPr>
        <w:t xml:space="preserve"> document</w:t>
      </w:r>
      <w:r>
        <w:rPr>
          <w:rFonts w:ascii="Arial" w:hAnsi="Arial"/>
          <w:sz w:val="22"/>
          <w:szCs w:val="22"/>
          <w:lang w:val="pt-PT"/>
        </w:rPr>
        <w:t>o</w:t>
      </w:r>
      <w:r w:rsidRPr="00D24407">
        <w:rPr>
          <w:rFonts w:ascii="Arial" w:hAnsi="Arial"/>
          <w:sz w:val="22"/>
          <w:szCs w:val="22"/>
          <w:lang w:val="pt-PT"/>
        </w:rPr>
        <w:t xml:space="preserve"> CMS/sharks/MOS3/Doc.15.1)</w:t>
      </w:r>
    </w:p>
    <w:p w:rsidR="00766125" w:rsidRPr="00D24407" w:rsidRDefault="00766125" w:rsidP="00B25614">
      <w:pPr>
        <w:jc w:val="both"/>
        <w:rPr>
          <w:rFonts w:ascii="Arial" w:hAnsi="Arial" w:cs="Arial"/>
          <w:sz w:val="22"/>
          <w:szCs w:val="22"/>
        </w:rPr>
      </w:pPr>
    </w:p>
    <w:p w:rsidR="00D24407" w:rsidRPr="00D24407" w:rsidRDefault="00D24407" w:rsidP="00D24407">
      <w:pPr>
        <w:widowControl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24407">
        <w:rPr>
          <w:rFonts w:ascii="Arial" w:hAnsi="Arial"/>
          <w:b/>
          <w:sz w:val="22"/>
          <w:szCs w:val="22"/>
          <w:lang w:val="es-ES"/>
        </w:rPr>
        <w:t>COOPERACIÓN CON LA CMS SOBRE LA APLICACIÓN DE LA ACCIÓN CONCERTADA PARA TIBURONES Y RAYAS</w:t>
      </w:r>
    </w:p>
    <w:p w:rsidR="00D24407" w:rsidRPr="00D24407" w:rsidRDefault="00D24407" w:rsidP="00D24407">
      <w:pPr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24407" w:rsidRPr="00D24407" w:rsidRDefault="00D24407" w:rsidP="00D24407">
      <w:pPr>
        <w:jc w:val="center"/>
        <w:rPr>
          <w:rFonts w:ascii="Arial" w:hAnsi="Arial" w:cs="Arial"/>
          <w:i/>
          <w:sz w:val="22"/>
          <w:szCs w:val="22"/>
          <w:lang w:val="es-ES_tradnl"/>
        </w:rPr>
      </w:pPr>
    </w:p>
    <w:p w:rsidR="00D24407" w:rsidRPr="00D24407" w:rsidRDefault="00D24407" w:rsidP="00D24407">
      <w:pPr>
        <w:widowControl/>
        <w:numPr>
          <w:ilvl w:val="0"/>
          <w:numId w:val="4"/>
        </w:numPr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  <w:r w:rsidRPr="00D24407">
        <w:rPr>
          <w:rFonts w:ascii="Arial" w:hAnsi="Arial"/>
          <w:sz w:val="22"/>
          <w:szCs w:val="22"/>
          <w:lang w:val="es-ES"/>
        </w:rPr>
        <w:t xml:space="preserve">Se le presentaron sugerencias a los Signatarios </w:t>
      </w:r>
      <w:r w:rsidRPr="00D24407">
        <w:rPr>
          <w:rFonts w:ascii="Arial" w:hAnsi="Arial"/>
          <w:sz w:val="22"/>
          <w:szCs w:val="22"/>
          <w:lang w:val="es-ES"/>
        </w:rPr>
        <w:t>para la cooperación con la Convención sobre la Conservación de las Especies Migratorias de Animales Silvestres (CMS) acerca de la implementación de la acción concertada en relación con los tiburones y las rayas. El concepto de "acción concertada" en el marco de la CMS</w:t>
      </w:r>
      <w:r w:rsidRPr="00D24407">
        <w:rPr>
          <w:rFonts w:ascii="Arial" w:hAnsi="Arial" w:cs="Arial"/>
          <w:sz w:val="22"/>
          <w:szCs w:val="22"/>
          <w:vertAlign w:val="superscript"/>
          <w:lang w:val="es-ES"/>
        </w:rPr>
        <w:footnoteReference w:id="1"/>
      </w:r>
      <w:r w:rsidRPr="00D24407">
        <w:rPr>
          <w:rFonts w:ascii="Arial" w:hAnsi="Arial"/>
          <w:sz w:val="22"/>
          <w:szCs w:val="22"/>
          <w:lang w:val="es-ES"/>
        </w:rPr>
        <w:t xml:space="preserve"> mira a fomentar la realización de actividades por las Partes, los Estados del área de distribución y las organizaciones pertinentes a fin de mejorar el estado de conservación de determinadas especies incluidas en las listas de la CMS. </w:t>
      </w:r>
    </w:p>
    <w:p w:rsidR="00D24407" w:rsidRPr="00D24407" w:rsidRDefault="00D24407" w:rsidP="00D24407">
      <w:pPr>
        <w:widowControl/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</w:p>
    <w:p w:rsidR="00D24407" w:rsidRPr="00D24407" w:rsidRDefault="00D24407" w:rsidP="00D24407">
      <w:pPr>
        <w:widowControl/>
        <w:numPr>
          <w:ilvl w:val="0"/>
          <w:numId w:val="4"/>
        </w:numPr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  <w:r w:rsidRPr="00D24407">
        <w:rPr>
          <w:rFonts w:ascii="Arial" w:hAnsi="Arial"/>
          <w:sz w:val="22"/>
          <w:szCs w:val="22"/>
          <w:lang w:val="es-ES"/>
        </w:rPr>
        <w:t xml:space="preserve">No obstante, se trate de un acuerdo independiente con sus propios miembros, órganos de procedimiento y funcionales, el 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MdE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 xml:space="preserve"> sobre los tiburones es un acuerdo establecido de conformidad con el Artículo 4 (4) de la CMS. Como tal, mira a aplicar el Apéndice II de la Convención, que comprende las especies que podrían beneficiarse de la cooperación internacional. </w:t>
      </w:r>
    </w:p>
    <w:p w:rsidR="00D24407" w:rsidRPr="00D24407" w:rsidRDefault="00D24407" w:rsidP="00D24407">
      <w:pPr>
        <w:ind w:left="540" w:hanging="540"/>
        <w:rPr>
          <w:rFonts w:ascii="Arial" w:hAnsi="Arial" w:cs="Arial"/>
          <w:sz w:val="22"/>
          <w:szCs w:val="22"/>
          <w:lang w:val="es-ES"/>
        </w:rPr>
      </w:pPr>
    </w:p>
    <w:p w:rsidR="00D24407" w:rsidRPr="00D24407" w:rsidRDefault="00621CE9" w:rsidP="00D24407">
      <w:pPr>
        <w:widowControl/>
        <w:numPr>
          <w:ilvl w:val="0"/>
          <w:numId w:val="4"/>
        </w:numPr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Los Signatarios apoyan la</w:t>
      </w:r>
      <w:r w:rsidR="00D24407" w:rsidRPr="00D24407">
        <w:rPr>
          <w:rFonts w:ascii="Arial" w:hAnsi="Arial"/>
          <w:sz w:val="22"/>
          <w:szCs w:val="22"/>
          <w:lang w:val="es-ES"/>
        </w:rPr>
        <w:t xml:space="preserve"> estrecha cooperación con la CMS en todos los asuntos relacionados con los tiburones y las rayas incluidos en los Apéndices de la CMS que figuran también en el Anexo 1 del </w:t>
      </w:r>
      <w:proofErr w:type="spellStart"/>
      <w:r w:rsidR="00D24407" w:rsidRPr="00D24407">
        <w:rPr>
          <w:rFonts w:ascii="Arial" w:hAnsi="Arial"/>
          <w:sz w:val="22"/>
          <w:szCs w:val="22"/>
          <w:lang w:val="es-ES"/>
        </w:rPr>
        <w:t>MdE</w:t>
      </w:r>
      <w:proofErr w:type="spellEnd"/>
      <w:r w:rsidR="00D24407" w:rsidRPr="00D24407">
        <w:rPr>
          <w:rFonts w:ascii="Arial" w:hAnsi="Arial"/>
          <w:sz w:val="22"/>
          <w:szCs w:val="22"/>
          <w:lang w:val="es-ES"/>
        </w:rPr>
        <w:t xml:space="preserve">. </w:t>
      </w:r>
    </w:p>
    <w:p w:rsidR="00D24407" w:rsidRPr="00D24407" w:rsidRDefault="00D24407" w:rsidP="00D24407">
      <w:pPr>
        <w:widowControl/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</w:p>
    <w:p w:rsidR="00D24407" w:rsidRPr="00D24407" w:rsidRDefault="00621CE9" w:rsidP="00D24407">
      <w:pPr>
        <w:widowControl/>
        <w:numPr>
          <w:ilvl w:val="0"/>
          <w:numId w:val="4"/>
        </w:numPr>
        <w:shd w:val="clear" w:color="auto" w:fill="FFFFFF"/>
        <w:autoSpaceDE/>
        <w:adjustRightInd/>
        <w:ind w:left="540" w:hanging="540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Las siguientes acciones concertadas fueron adoptadas por los Signatarios:</w:t>
      </w:r>
      <w:r w:rsidR="00D24407" w:rsidRPr="00D24407">
        <w:rPr>
          <w:rFonts w:ascii="Arial" w:hAnsi="Arial"/>
          <w:sz w:val="22"/>
          <w:szCs w:val="22"/>
          <w:lang w:val="es-ES"/>
        </w:rPr>
        <w:t xml:space="preserve"> </w:t>
      </w:r>
    </w:p>
    <w:p w:rsidR="00D24407" w:rsidRPr="00D24407" w:rsidRDefault="00D24407" w:rsidP="00D24407">
      <w:pPr>
        <w:ind w:left="720"/>
        <w:rPr>
          <w:rFonts w:ascii="Arial" w:hAnsi="Arial" w:cs="Arial"/>
          <w:sz w:val="22"/>
          <w:szCs w:val="22"/>
          <w:lang w:val="es-ES"/>
        </w:rPr>
      </w:pPr>
    </w:p>
    <w:p w:rsidR="00D24407" w:rsidRPr="00D24407" w:rsidRDefault="00D24407" w:rsidP="00D24407">
      <w:pPr>
        <w:widowControl/>
        <w:numPr>
          <w:ilvl w:val="1"/>
          <w:numId w:val="4"/>
        </w:numPr>
        <w:shd w:val="clear" w:color="auto" w:fill="FFFFFF"/>
        <w:autoSpaceDE/>
        <w:adjustRightInd/>
        <w:jc w:val="both"/>
        <w:rPr>
          <w:rFonts w:ascii="Arial" w:hAnsi="Arial" w:cs="Arial"/>
          <w:sz w:val="22"/>
          <w:szCs w:val="22"/>
          <w:lang w:val="es-ES"/>
        </w:rPr>
      </w:pPr>
      <w:r w:rsidRPr="00D24407">
        <w:rPr>
          <w:rFonts w:ascii="Arial" w:hAnsi="Arial"/>
          <w:sz w:val="22"/>
          <w:szCs w:val="22"/>
          <w:lang w:val="es-ES"/>
        </w:rPr>
        <w:t xml:space="preserve">(Rayas 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mobúlidas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 xml:space="preserve"> (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Mobulidae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>) (CMS/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Sharks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 xml:space="preserve">/MOS3/Inf.8) </w:t>
      </w:r>
    </w:p>
    <w:p w:rsidR="00D24407" w:rsidRPr="00D24407" w:rsidRDefault="00D24407" w:rsidP="00621CE9">
      <w:pPr>
        <w:widowControl/>
        <w:numPr>
          <w:ilvl w:val="1"/>
          <w:numId w:val="4"/>
        </w:numPr>
        <w:shd w:val="clear" w:color="auto" w:fill="FFFFFF"/>
        <w:autoSpaceDE/>
        <w:adjustRightInd/>
        <w:jc w:val="both"/>
        <w:rPr>
          <w:rFonts w:ascii="Arial" w:hAnsi="Arial" w:cs="Arial"/>
          <w:sz w:val="22"/>
          <w:szCs w:val="22"/>
          <w:lang w:val="es-ES"/>
        </w:rPr>
      </w:pPr>
      <w:r w:rsidRPr="00D24407">
        <w:rPr>
          <w:rFonts w:ascii="Arial" w:hAnsi="Arial"/>
          <w:sz w:val="22"/>
          <w:szCs w:val="22"/>
          <w:lang w:val="es-ES"/>
        </w:rPr>
        <w:t>Tiburón ballena (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Rhincodon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typus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>) (CMS/</w:t>
      </w:r>
      <w:proofErr w:type="spellStart"/>
      <w:r w:rsidRPr="00D24407">
        <w:rPr>
          <w:rFonts w:ascii="Arial" w:hAnsi="Arial"/>
          <w:sz w:val="22"/>
          <w:szCs w:val="22"/>
          <w:lang w:val="es-ES"/>
        </w:rPr>
        <w:t>Sharks</w:t>
      </w:r>
      <w:proofErr w:type="spellEnd"/>
      <w:r w:rsidRPr="00D24407">
        <w:rPr>
          <w:rFonts w:ascii="Arial" w:hAnsi="Arial"/>
          <w:sz w:val="22"/>
          <w:szCs w:val="22"/>
          <w:lang w:val="es-ES"/>
        </w:rPr>
        <w:t xml:space="preserve">/MOS3/Inf.9) </w:t>
      </w:r>
    </w:p>
    <w:p w:rsidR="00D24407" w:rsidRPr="00D24407" w:rsidRDefault="00D24407" w:rsidP="00621CE9">
      <w:pPr>
        <w:widowControl/>
        <w:numPr>
          <w:ilvl w:val="1"/>
          <w:numId w:val="4"/>
        </w:numPr>
        <w:shd w:val="clear" w:color="auto" w:fill="FFFFFF"/>
        <w:autoSpaceDE/>
        <w:adjustRightInd/>
        <w:jc w:val="both"/>
        <w:rPr>
          <w:rFonts w:ascii="Arial" w:hAnsi="Arial" w:cs="Arial"/>
          <w:sz w:val="22"/>
          <w:szCs w:val="22"/>
        </w:rPr>
      </w:pPr>
      <w:proofErr w:type="spellStart"/>
      <w:r w:rsidRPr="00D24407">
        <w:rPr>
          <w:rFonts w:ascii="Arial" w:hAnsi="Arial"/>
          <w:sz w:val="22"/>
          <w:szCs w:val="22"/>
        </w:rPr>
        <w:t>Angelote</w:t>
      </w:r>
      <w:proofErr w:type="spellEnd"/>
      <w:r w:rsidRPr="00D24407">
        <w:rPr>
          <w:rFonts w:ascii="Arial" w:hAnsi="Arial"/>
          <w:sz w:val="22"/>
          <w:szCs w:val="22"/>
        </w:rPr>
        <w:t xml:space="preserve"> (</w:t>
      </w:r>
      <w:proofErr w:type="spellStart"/>
      <w:r w:rsidRPr="00D24407">
        <w:rPr>
          <w:rFonts w:ascii="Arial" w:hAnsi="Arial"/>
          <w:sz w:val="22"/>
          <w:szCs w:val="22"/>
        </w:rPr>
        <w:t>Squatina</w:t>
      </w:r>
      <w:proofErr w:type="spellEnd"/>
      <w:r w:rsidRPr="00D24407">
        <w:rPr>
          <w:rFonts w:ascii="Arial" w:hAnsi="Arial"/>
          <w:sz w:val="22"/>
          <w:szCs w:val="22"/>
        </w:rPr>
        <w:t xml:space="preserve"> </w:t>
      </w:r>
      <w:proofErr w:type="spellStart"/>
      <w:r w:rsidRPr="00D24407">
        <w:rPr>
          <w:rFonts w:ascii="Arial" w:hAnsi="Arial"/>
          <w:sz w:val="22"/>
          <w:szCs w:val="22"/>
        </w:rPr>
        <w:t>squatina</w:t>
      </w:r>
      <w:proofErr w:type="spellEnd"/>
      <w:r w:rsidRPr="00D24407">
        <w:rPr>
          <w:rFonts w:ascii="Arial" w:hAnsi="Arial"/>
          <w:sz w:val="22"/>
          <w:szCs w:val="22"/>
        </w:rPr>
        <w:t xml:space="preserve">) (CMS/Sharks/MOS3/Inf.10) </w:t>
      </w:r>
    </w:p>
    <w:p w:rsidR="00D24407" w:rsidRPr="00D24407" w:rsidRDefault="00D24407" w:rsidP="00D24407">
      <w:pPr>
        <w:widowControl/>
        <w:shd w:val="clear" w:color="auto" w:fill="FFFFFF"/>
        <w:autoSpaceDE/>
        <w:adjustRightInd/>
        <w:ind w:left="1080"/>
        <w:jc w:val="both"/>
        <w:rPr>
          <w:rFonts w:ascii="Arial" w:hAnsi="Arial" w:cs="Arial"/>
          <w:sz w:val="22"/>
          <w:szCs w:val="22"/>
        </w:rPr>
      </w:pPr>
    </w:p>
    <w:p w:rsidR="00766125" w:rsidRDefault="00621CE9" w:rsidP="00766125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(Los Anexos no alterados no se adjuntan a la CRP)</w:t>
      </w:r>
      <w:bookmarkStart w:id="0" w:name="_GoBack"/>
      <w:bookmarkEnd w:id="0"/>
    </w:p>
    <w:p w:rsidR="00766125" w:rsidRPr="00766125" w:rsidRDefault="00766125" w:rsidP="00766125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766125" w:rsidRPr="00766125" w:rsidSect="0076612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1" w:right="1350" w:bottom="1411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9AF" w:rsidRDefault="00D869AF" w:rsidP="00766125">
      <w:r>
        <w:separator/>
      </w:r>
    </w:p>
  </w:endnote>
  <w:endnote w:type="continuationSeparator" w:id="0">
    <w:p w:rsidR="00D869AF" w:rsidRDefault="00D869AF" w:rsidP="0076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6794594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445498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125" w:rsidRPr="00766125" w:rsidRDefault="00766125" w:rsidP="00766125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6125">
          <w:rPr>
            <w:rFonts w:ascii="Arial" w:hAnsi="Arial" w:cs="Arial"/>
            <w:sz w:val="18"/>
            <w:szCs w:val="18"/>
          </w:rPr>
          <w:fldChar w:fldCharType="begin"/>
        </w:r>
        <w:r w:rsidRPr="0076612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6125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3</w:t>
        </w:r>
        <w:r w:rsidRPr="0076612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9AF" w:rsidRDefault="00D869AF" w:rsidP="00766125">
      <w:r>
        <w:separator/>
      </w:r>
    </w:p>
  </w:footnote>
  <w:footnote w:type="continuationSeparator" w:id="0">
    <w:p w:rsidR="00D869AF" w:rsidRDefault="00D869AF" w:rsidP="00766125">
      <w:r>
        <w:continuationSeparator/>
      </w:r>
    </w:p>
  </w:footnote>
  <w:footnote w:id="1">
    <w:p w:rsidR="00D24407" w:rsidRDefault="00D24407" w:rsidP="00D24407">
      <w:pPr>
        <w:pStyle w:val="FootnoteText"/>
      </w:pPr>
      <w:r>
        <w:rPr>
          <w:rStyle w:val="FootnoteReference"/>
        </w:rPr>
        <w:footnoteRef/>
      </w:r>
      <w:r>
        <w:t xml:space="preserve"> Para obtener más información, véase el documento UNEP/CMS/Resolución 12.28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>
    <w:pPr>
      <w:pStyle w:val="Header"/>
      <w:rPr>
        <w:rFonts w:ascii="Arial" w:hAnsi="Arial" w:cs="Arial"/>
        <w:sz w:val="18"/>
        <w:szCs w:val="18"/>
      </w:rPr>
    </w:pPr>
  </w:p>
  <w:p w:rsidR="00766125" w:rsidRPr="00766125" w:rsidRDefault="00766125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125" w:rsidRDefault="00766125" w:rsidP="00766125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UNEP/CMS/Sharks</w:t>
    </w:r>
    <w:r w:rsidRPr="00766125">
      <w:rPr>
        <w:rFonts w:ascii="Arial" w:hAnsi="Arial" w:cs="Arial"/>
        <w:i/>
        <w:sz w:val="18"/>
        <w:szCs w:val="18"/>
      </w:rPr>
      <w:t>/MOS3/</w:t>
    </w:r>
    <w:proofErr w:type="spellStart"/>
    <w:r w:rsidRPr="00766125">
      <w:rPr>
        <w:rFonts w:ascii="Arial" w:hAnsi="Arial" w:cs="Arial"/>
        <w:i/>
        <w:sz w:val="18"/>
        <w:szCs w:val="18"/>
      </w:rPr>
      <w:t>Doc.XX</w:t>
    </w:r>
    <w:proofErr w:type="spellEnd"/>
  </w:p>
  <w:p w:rsidR="00766125" w:rsidRDefault="00766125" w:rsidP="00766125">
    <w:pPr>
      <w:pStyle w:val="Header"/>
      <w:rPr>
        <w:rFonts w:ascii="Arial" w:hAnsi="Arial" w:cs="Arial"/>
        <w:sz w:val="18"/>
        <w:szCs w:val="18"/>
      </w:rPr>
    </w:pPr>
  </w:p>
  <w:p w:rsidR="00766125" w:rsidRDefault="0076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06AF1"/>
    <w:multiLevelType w:val="hybridMultilevel"/>
    <w:tmpl w:val="BCD0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4304FF"/>
    <w:multiLevelType w:val="hybridMultilevel"/>
    <w:tmpl w:val="D2686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14"/>
    <w:rsid w:val="003A191D"/>
    <w:rsid w:val="003B0EE6"/>
    <w:rsid w:val="003F19C8"/>
    <w:rsid w:val="005A7C90"/>
    <w:rsid w:val="0061372A"/>
    <w:rsid w:val="00621CE9"/>
    <w:rsid w:val="006E6D52"/>
    <w:rsid w:val="00745C0B"/>
    <w:rsid w:val="007631D7"/>
    <w:rsid w:val="00766125"/>
    <w:rsid w:val="008A2B1C"/>
    <w:rsid w:val="009A4757"/>
    <w:rsid w:val="009A5554"/>
    <w:rsid w:val="00B25614"/>
    <w:rsid w:val="00CB2DFD"/>
    <w:rsid w:val="00D24407"/>
    <w:rsid w:val="00D869AF"/>
    <w:rsid w:val="00EF1D0A"/>
    <w:rsid w:val="00F73717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73BC"/>
  <w15:chartTrackingRefBased/>
  <w15:docId w15:val="{1103D5E8-93CE-40A8-B852-C13B19C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5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5614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2561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25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1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1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5614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B25614"/>
    <w:rPr>
      <w:rFonts w:ascii="Cambria" w:eastAsia="Times New Roman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25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D24407"/>
    <w:rPr>
      <w:rFonts w:ascii="Arial" w:hAnsi="Arial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407"/>
    <w:rPr>
      <w:rFonts w:ascii="Arial" w:eastAsia="Times New Roman" w:hAnsi="Arial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rsid w:val="00D244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EF697-048D-4E2F-9063-D4AA81BE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Meyers</dc:creator>
  <cp:keywords/>
  <dc:description/>
  <cp:lastModifiedBy>Ximena Cancino</cp:lastModifiedBy>
  <cp:revision>2</cp:revision>
  <dcterms:created xsi:type="dcterms:W3CDTF">2018-12-13T23:05:00Z</dcterms:created>
  <dcterms:modified xsi:type="dcterms:W3CDTF">2018-12-13T23:05:00Z</dcterms:modified>
</cp:coreProperties>
</file>