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000" w:type="dxa"/>
        <w:tblBorders>
          <w:insideV w:val="single" w:sz="12" w:space="0" w:color="auto"/>
        </w:tblBorders>
        <w:tblLayout w:type="fixed"/>
        <w:tblCellMar>
          <w:top w:w="198" w:type="dxa"/>
        </w:tblCellMar>
        <w:tblLook w:val="0000" w:firstRow="0" w:lastRow="0" w:firstColumn="0" w:lastColumn="0" w:noHBand="0" w:noVBand="0"/>
      </w:tblPr>
      <w:tblGrid>
        <w:gridCol w:w="1526"/>
        <w:gridCol w:w="3874"/>
        <w:gridCol w:w="3594"/>
        <w:gridCol w:w="6"/>
      </w:tblGrid>
      <w:tr w:rsidR="00507D30" w:rsidRPr="002A399E" w14:paraId="22B6DCDB" w14:textId="77777777" w:rsidTr="00FC3939">
        <w:trPr>
          <w:gridAfter w:val="1"/>
          <w:wAfter w:w="6" w:type="dxa"/>
          <w:cantSplit/>
          <w:trHeight w:val="725"/>
        </w:trPr>
        <w:tc>
          <w:tcPr>
            <w:tcW w:w="8994" w:type="dxa"/>
            <w:gridSpan w:val="3"/>
            <w:tcBorders>
              <w:bottom w:val="single" w:sz="12" w:space="0" w:color="auto"/>
            </w:tcBorders>
            <w:tcMar>
              <w:top w:w="85" w:type="dxa"/>
            </w:tcMar>
          </w:tcPr>
          <w:p w14:paraId="4F5C4B05" w14:textId="77777777" w:rsidR="00507D30" w:rsidRPr="002A399E" w:rsidRDefault="00507D30" w:rsidP="00507D30">
            <w:pPr>
              <w:tabs>
                <w:tab w:val="left" w:pos="-1057"/>
                <w:tab w:val="left" w:pos="-720"/>
                <w:tab w:val="left" w:pos="0"/>
                <w:tab w:val="left" w:pos="141"/>
                <w:tab w:val="left" w:pos="720"/>
                <w:tab w:val="right" w:pos="8955"/>
              </w:tabs>
              <w:jc w:val="both"/>
              <w:rPr>
                <w:sz w:val="22"/>
                <w:szCs w:val="22"/>
                <w:lang w:val="fr-FR"/>
              </w:rPr>
            </w:pPr>
            <w:r w:rsidRPr="002A399E">
              <w:rPr>
                <w:noProof/>
                <w:lang w:val="en-GB" w:eastAsia="en-GB"/>
              </w:rPr>
              <w:drawing>
                <wp:anchor distT="0" distB="0" distL="114300" distR="114300" simplePos="0" relativeHeight="251661312" behindDoc="0" locked="0" layoutInCell="1" allowOverlap="1" wp14:anchorId="3D5E614E" wp14:editId="68C7CAFE">
                  <wp:simplePos x="0" y="0"/>
                  <wp:positionH relativeFrom="column">
                    <wp:posOffset>945515</wp:posOffset>
                  </wp:positionH>
                  <wp:positionV relativeFrom="paragraph">
                    <wp:posOffset>207645</wp:posOffset>
                  </wp:positionV>
                  <wp:extent cx="255960" cy="359410"/>
                  <wp:effectExtent l="0" t="0" r="0" b="254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A399E">
              <w:rPr>
                <w:noProof/>
                <w:lang w:val="en-GB" w:eastAsia="en-GB"/>
              </w:rPr>
              <w:drawing>
                <wp:anchor distT="0" distB="0" distL="114300" distR="114300" simplePos="0" relativeHeight="251660288" behindDoc="1" locked="0" layoutInCell="1" allowOverlap="1" wp14:anchorId="53C3746C" wp14:editId="0C5640A2">
                  <wp:simplePos x="0" y="0"/>
                  <wp:positionH relativeFrom="column">
                    <wp:posOffset>0</wp:posOffset>
                  </wp:positionH>
                  <wp:positionV relativeFrom="paragraph">
                    <wp:posOffset>169545</wp:posOffset>
                  </wp:positionV>
                  <wp:extent cx="945515" cy="510540"/>
                  <wp:effectExtent l="0" t="0" r="0" b="0"/>
                  <wp:wrapTight wrapText="bothSides">
                    <wp:wrapPolygon edited="0">
                      <wp:start x="2176" y="2418"/>
                      <wp:lineTo x="1306" y="14507"/>
                      <wp:lineTo x="1306" y="18537"/>
                      <wp:lineTo x="20019" y="18537"/>
                      <wp:lineTo x="19584" y="5642"/>
                      <wp:lineTo x="19148" y="2418"/>
                      <wp:lineTo x="2176" y="2418"/>
                    </wp:wrapPolygon>
                  </wp:wrapTight>
                  <wp:docPr id="6" name="Picture 6" descr="UNEnvironment_Logo_Frenc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Environment_Logo_Frenc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5515" cy="5105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07D30" w:rsidRPr="002A399E" w14:paraId="47399EE1" w14:textId="77777777" w:rsidTr="00FC3939">
        <w:trPr>
          <w:trHeight w:val="1367"/>
        </w:trPr>
        <w:tc>
          <w:tcPr>
            <w:tcW w:w="1526" w:type="dxa"/>
            <w:tcBorders>
              <w:top w:val="single" w:sz="12" w:space="0" w:color="auto"/>
              <w:bottom w:val="single" w:sz="12" w:space="0" w:color="auto"/>
              <w:right w:val="nil"/>
            </w:tcBorders>
            <w:tcMar>
              <w:top w:w="85" w:type="dxa"/>
            </w:tcMar>
          </w:tcPr>
          <w:p w14:paraId="5C436F76" w14:textId="77777777" w:rsidR="00507D30" w:rsidRPr="002A399E" w:rsidRDefault="00507D30" w:rsidP="00507D30">
            <w:pPr>
              <w:jc w:val="both"/>
              <w:rPr>
                <w:sz w:val="22"/>
                <w:szCs w:val="22"/>
                <w:lang w:val="fr-FR"/>
              </w:rPr>
            </w:pPr>
            <w:r w:rsidRPr="002A399E">
              <w:rPr>
                <w:noProof/>
                <w:lang w:val="en-GB" w:eastAsia="en-GB"/>
              </w:rPr>
              <w:drawing>
                <wp:anchor distT="0" distB="0" distL="114300" distR="114300" simplePos="0" relativeHeight="251659264" behindDoc="0" locked="0" layoutInCell="1" allowOverlap="1" wp14:anchorId="63FA41D1" wp14:editId="12BBED42">
                  <wp:simplePos x="0" y="0"/>
                  <wp:positionH relativeFrom="column">
                    <wp:posOffset>4445</wp:posOffset>
                  </wp:positionH>
                  <wp:positionV relativeFrom="paragraph">
                    <wp:posOffset>-15240</wp:posOffset>
                  </wp:positionV>
                  <wp:extent cx="1029970" cy="879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74" w:type="dxa"/>
            <w:tcBorders>
              <w:top w:val="single" w:sz="12" w:space="0" w:color="auto"/>
              <w:left w:val="nil"/>
              <w:bottom w:val="single" w:sz="12" w:space="0" w:color="auto"/>
              <w:right w:val="nil"/>
            </w:tcBorders>
            <w:tcMar>
              <w:top w:w="85" w:type="dxa"/>
            </w:tcMar>
          </w:tcPr>
          <w:p w14:paraId="2217DAA9" w14:textId="77777777" w:rsidR="00507D30" w:rsidRPr="002A399E" w:rsidRDefault="00507D30" w:rsidP="00507D30">
            <w:pPr>
              <w:spacing w:before="40"/>
              <w:ind w:left="274"/>
              <w:rPr>
                <w:b/>
                <w:bCs/>
                <w:sz w:val="22"/>
                <w:szCs w:val="22"/>
                <w:lang w:val="fr-FR"/>
              </w:rPr>
            </w:pPr>
            <w:r w:rsidRPr="002A399E">
              <w:rPr>
                <w:rFonts w:cs="Arial"/>
                <w:b/>
                <w:bCs/>
                <w:sz w:val="22"/>
                <w:szCs w:val="22"/>
                <w:lang w:val="fr-FR"/>
              </w:rPr>
              <w:t>MÉMORANDUM D’ENTENTE SUR LA CONSERVATION DES REQUINS MIGRATEURS</w:t>
            </w:r>
          </w:p>
        </w:tc>
        <w:tc>
          <w:tcPr>
            <w:tcW w:w="3600" w:type="dxa"/>
            <w:gridSpan w:val="2"/>
            <w:tcBorders>
              <w:top w:val="single" w:sz="12" w:space="0" w:color="auto"/>
              <w:left w:val="nil"/>
              <w:bottom w:val="single" w:sz="12" w:space="0" w:color="auto"/>
            </w:tcBorders>
            <w:tcMar>
              <w:top w:w="85" w:type="dxa"/>
            </w:tcMar>
          </w:tcPr>
          <w:p w14:paraId="1D7DF9C4" w14:textId="77777777" w:rsidR="006767BC" w:rsidRPr="006767BC" w:rsidRDefault="006767BC" w:rsidP="00507D30">
            <w:pPr>
              <w:spacing w:before="40" w:after="40"/>
              <w:ind w:left="-108"/>
              <w:jc w:val="both"/>
              <w:rPr>
                <w:rFonts w:cs="Arial"/>
                <w:sz w:val="12"/>
                <w:szCs w:val="12"/>
                <w:lang w:val="fr-FR"/>
              </w:rPr>
            </w:pPr>
          </w:p>
          <w:p w14:paraId="082C423D" w14:textId="1B62A7FC" w:rsidR="00507D30" w:rsidRPr="002A399E" w:rsidRDefault="00667611" w:rsidP="006767BC">
            <w:pPr>
              <w:spacing w:before="40" w:after="40"/>
              <w:ind w:left="588"/>
              <w:jc w:val="both"/>
              <w:rPr>
                <w:rFonts w:cs="Arial"/>
                <w:sz w:val="22"/>
                <w:szCs w:val="22"/>
                <w:lang w:val="fr-FR"/>
              </w:rPr>
            </w:pPr>
            <w:r>
              <w:rPr>
                <w:rFonts w:cs="Arial"/>
                <w:sz w:val="22"/>
                <w:szCs w:val="22"/>
                <w:lang w:val="fr-FR"/>
              </w:rPr>
              <w:t>CMS/</w:t>
            </w:r>
            <w:proofErr w:type="spellStart"/>
            <w:r>
              <w:rPr>
                <w:rFonts w:cs="Arial"/>
                <w:sz w:val="22"/>
                <w:szCs w:val="22"/>
                <w:lang w:val="fr-FR"/>
              </w:rPr>
              <w:t>Sharks</w:t>
            </w:r>
            <w:proofErr w:type="spellEnd"/>
            <w:r>
              <w:rPr>
                <w:rFonts w:cs="Arial"/>
                <w:sz w:val="22"/>
                <w:szCs w:val="22"/>
                <w:lang w:val="fr-FR"/>
              </w:rPr>
              <w:t>/MOS3/CRP</w:t>
            </w:r>
            <w:r w:rsidR="009C3435">
              <w:rPr>
                <w:rFonts w:cs="Arial"/>
                <w:sz w:val="22"/>
                <w:szCs w:val="22"/>
                <w:lang w:val="fr-FR"/>
              </w:rPr>
              <w:t>1</w:t>
            </w:r>
          </w:p>
          <w:p w14:paraId="24F5E485" w14:textId="2B0CAF7D" w:rsidR="00507D30" w:rsidRPr="002A399E" w:rsidRDefault="00B54BA6" w:rsidP="006767BC">
            <w:pPr>
              <w:spacing w:before="40" w:after="40"/>
              <w:ind w:left="588"/>
              <w:jc w:val="both"/>
              <w:rPr>
                <w:rFonts w:cs="Arial"/>
                <w:sz w:val="22"/>
                <w:szCs w:val="22"/>
                <w:lang w:val="fr-FR"/>
              </w:rPr>
            </w:pPr>
            <w:r w:rsidRPr="006767BC">
              <w:rPr>
                <w:rFonts w:cs="Arial"/>
                <w:sz w:val="22"/>
                <w:szCs w:val="22"/>
                <w:lang w:val="fr-FR"/>
              </w:rPr>
              <w:t>1</w:t>
            </w:r>
            <w:r w:rsidR="006767BC">
              <w:rPr>
                <w:rFonts w:cs="Arial"/>
                <w:sz w:val="22"/>
                <w:szCs w:val="22"/>
                <w:lang w:val="fr-FR"/>
              </w:rPr>
              <w:t xml:space="preserve">1 </w:t>
            </w:r>
            <w:r w:rsidR="00667611" w:rsidRPr="006767BC">
              <w:rPr>
                <w:rFonts w:cs="Arial"/>
                <w:sz w:val="22"/>
                <w:szCs w:val="22"/>
                <w:lang w:val="fr-FR"/>
              </w:rPr>
              <w:t>décembre</w:t>
            </w:r>
            <w:r w:rsidR="00507D30" w:rsidRPr="002A399E">
              <w:rPr>
                <w:rFonts w:cs="Arial"/>
                <w:sz w:val="22"/>
                <w:szCs w:val="22"/>
                <w:lang w:val="fr-FR"/>
              </w:rPr>
              <w:t xml:space="preserve"> 2018</w:t>
            </w:r>
          </w:p>
          <w:p w14:paraId="7B88B94C" w14:textId="4D4A5509" w:rsidR="00507D30" w:rsidRPr="002A399E" w:rsidRDefault="00507D30" w:rsidP="00507D30">
            <w:pPr>
              <w:ind w:left="-108"/>
              <w:jc w:val="both"/>
              <w:rPr>
                <w:sz w:val="22"/>
                <w:szCs w:val="22"/>
                <w:lang w:val="fr-FR"/>
              </w:rPr>
            </w:pPr>
          </w:p>
        </w:tc>
      </w:tr>
    </w:tbl>
    <w:p w14:paraId="0DB9E567" w14:textId="77777777" w:rsidR="00507D30" w:rsidRDefault="00507D30" w:rsidP="00507D30">
      <w:pPr>
        <w:jc w:val="both"/>
        <w:rPr>
          <w:rFonts w:cs="Arial"/>
          <w:sz w:val="22"/>
          <w:szCs w:val="22"/>
          <w:lang w:val="fr-FR"/>
        </w:rPr>
      </w:pPr>
    </w:p>
    <w:p w14:paraId="3B6427CA" w14:textId="77777777" w:rsidR="00396579" w:rsidRPr="002A399E" w:rsidRDefault="00396579" w:rsidP="00507D30">
      <w:pPr>
        <w:jc w:val="both"/>
        <w:rPr>
          <w:rFonts w:cs="Arial"/>
          <w:sz w:val="22"/>
          <w:szCs w:val="22"/>
          <w:lang w:val="fr-FR"/>
        </w:rPr>
      </w:pPr>
    </w:p>
    <w:p w14:paraId="509D3F02" w14:textId="65DAEFB5" w:rsidR="00BD3E40" w:rsidRPr="00396579" w:rsidRDefault="00396579" w:rsidP="00BD3E40">
      <w:pPr>
        <w:pStyle w:val="ListParagraph"/>
        <w:ind w:left="0"/>
        <w:jc w:val="center"/>
        <w:rPr>
          <w:rFonts w:eastAsia="Arial" w:cs="Arial"/>
          <w:sz w:val="22"/>
          <w:szCs w:val="22"/>
          <w:lang w:val="fr-FR"/>
        </w:rPr>
      </w:pPr>
      <w:r w:rsidRPr="00396579">
        <w:rPr>
          <w:rFonts w:eastAsia="Arial" w:cs="Arial"/>
          <w:sz w:val="22"/>
          <w:szCs w:val="22"/>
          <w:lang w:val="fr-FR"/>
        </w:rPr>
        <w:t>(</w:t>
      </w:r>
      <w:proofErr w:type="gramStart"/>
      <w:r w:rsidRPr="00396579">
        <w:rPr>
          <w:rFonts w:eastAsia="Arial" w:cs="Arial"/>
          <w:sz w:val="22"/>
          <w:szCs w:val="22"/>
          <w:lang w:val="fr-FR"/>
        </w:rPr>
        <w:t>du</w:t>
      </w:r>
      <w:proofErr w:type="gramEnd"/>
      <w:r w:rsidRPr="00396579">
        <w:rPr>
          <w:rFonts w:eastAsia="Arial" w:cs="Arial"/>
          <w:sz w:val="22"/>
          <w:szCs w:val="22"/>
          <w:lang w:val="fr-FR"/>
        </w:rPr>
        <w:t xml:space="preserve"> document CMS/</w:t>
      </w:r>
      <w:proofErr w:type="spellStart"/>
      <w:r w:rsidRPr="00396579">
        <w:rPr>
          <w:rFonts w:eastAsia="Arial" w:cs="Arial"/>
          <w:sz w:val="22"/>
          <w:szCs w:val="22"/>
          <w:lang w:val="fr-FR"/>
        </w:rPr>
        <w:t>Sharks</w:t>
      </w:r>
      <w:proofErr w:type="spellEnd"/>
      <w:r w:rsidRPr="00396579">
        <w:rPr>
          <w:rFonts w:eastAsia="Arial" w:cs="Arial"/>
          <w:sz w:val="22"/>
          <w:szCs w:val="22"/>
          <w:lang w:val="fr-FR"/>
        </w:rPr>
        <w:t>/MOS3/Rev.1/Annexe3)</w:t>
      </w:r>
    </w:p>
    <w:p w14:paraId="5BB6C336" w14:textId="77777777" w:rsidR="00396579" w:rsidRDefault="00396579" w:rsidP="00BD3E40">
      <w:pPr>
        <w:pStyle w:val="ListParagraph"/>
        <w:ind w:left="0"/>
        <w:jc w:val="center"/>
        <w:rPr>
          <w:rFonts w:eastAsia="Arial" w:cs="Arial"/>
          <w:b/>
          <w:sz w:val="22"/>
          <w:szCs w:val="22"/>
          <w:lang w:val="fr-FR"/>
        </w:rPr>
      </w:pPr>
    </w:p>
    <w:p w14:paraId="4122DF67" w14:textId="2EEEF44A" w:rsidR="00BD3E40" w:rsidRPr="00087CB5" w:rsidRDefault="00BD3E40" w:rsidP="00087CB5">
      <w:pPr>
        <w:pStyle w:val="ListParagraph"/>
        <w:spacing w:after="120"/>
        <w:ind w:left="0"/>
        <w:contextualSpacing w:val="0"/>
        <w:jc w:val="center"/>
        <w:rPr>
          <w:rFonts w:cs="Arial"/>
          <w:b/>
          <w:sz w:val="22"/>
          <w:szCs w:val="22"/>
          <w:lang w:val="fr-FR"/>
        </w:rPr>
      </w:pPr>
      <w:r w:rsidRPr="00BD3E40">
        <w:rPr>
          <w:rFonts w:eastAsia="Arial" w:cs="Arial"/>
          <w:b/>
          <w:sz w:val="22"/>
          <w:szCs w:val="22"/>
          <w:lang w:val="fr-FR"/>
        </w:rPr>
        <w:t>MODIFICATION DE LA LIS</w:t>
      </w:r>
      <w:r>
        <w:rPr>
          <w:rFonts w:eastAsia="Arial" w:cs="Arial"/>
          <w:b/>
          <w:sz w:val="22"/>
          <w:szCs w:val="22"/>
          <w:lang w:val="fr-FR"/>
        </w:rPr>
        <w:t>TE DES ESPÈCES (ANNEXE 1) DU MDE</w:t>
      </w:r>
    </w:p>
    <w:p w14:paraId="71E1424A" w14:textId="01CF5342" w:rsidR="00BD3E40" w:rsidRPr="007C7BC0" w:rsidRDefault="000F673D" w:rsidP="00BD3E40">
      <w:pPr>
        <w:jc w:val="center"/>
        <w:rPr>
          <w:rFonts w:cs="Arial"/>
          <w:i/>
          <w:sz w:val="22"/>
          <w:szCs w:val="22"/>
          <w:lang w:val="fr-FR"/>
        </w:rPr>
      </w:pPr>
      <w:r w:rsidRPr="007C7BC0">
        <w:rPr>
          <w:rFonts w:eastAsia="Arial" w:cs="Arial"/>
          <w:i/>
          <w:sz w:val="22"/>
          <w:szCs w:val="22"/>
          <w:lang w:val="fr-FR"/>
        </w:rPr>
        <w:t>(</w:t>
      </w:r>
      <w:proofErr w:type="gramStart"/>
      <w:r>
        <w:rPr>
          <w:rFonts w:eastAsia="Arial" w:cs="Arial"/>
          <w:i/>
          <w:sz w:val="22"/>
          <w:szCs w:val="22"/>
          <w:lang w:val="fr-FR"/>
        </w:rPr>
        <w:t>adopté</w:t>
      </w:r>
      <w:proofErr w:type="gramEnd"/>
      <w:r w:rsidR="00BD3E40">
        <w:rPr>
          <w:rFonts w:eastAsia="Arial" w:cs="Arial"/>
          <w:i/>
          <w:sz w:val="22"/>
          <w:szCs w:val="22"/>
          <w:lang w:val="fr-FR"/>
        </w:rPr>
        <w:t xml:space="preserve"> par les signataire lors de leur 3 </w:t>
      </w:r>
      <w:r w:rsidR="00BD3E40">
        <w:rPr>
          <w:rFonts w:eastAsia="Arial" w:cs="Arial"/>
          <w:i/>
          <w:sz w:val="22"/>
          <w:szCs w:val="22"/>
          <w:vertAlign w:val="superscript"/>
          <w:lang w:val="fr-FR"/>
        </w:rPr>
        <w:t xml:space="preserve">e </w:t>
      </w:r>
      <w:r w:rsidR="00BD3E40">
        <w:rPr>
          <w:rFonts w:eastAsia="Arial" w:cs="Arial"/>
          <w:i/>
          <w:sz w:val="22"/>
          <w:szCs w:val="22"/>
          <w:lang w:val="fr-FR"/>
        </w:rPr>
        <w:t>Réunion)</w:t>
      </w:r>
    </w:p>
    <w:p w14:paraId="69B902D9" w14:textId="77777777" w:rsidR="00BD3E40" w:rsidRDefault="00BD3E40" w:rsidP="00BD3E40">
      <w:pPr>
        <w:rPr>
          <w:rFonts w:cs="Arial"/>
          <w:sz w:val="22"/>
          <w:szCs w:val="22"/>
          <w:lang w:val="fr-FR"/>
        </w:rPr>
      </w:pPr>
    </w:p>
    <w:p w14:paraId="3DA72A5A" w14:textId="77777777" w:rsidR="00BD3E40" w:rsidRPr="00BD3E40" w:rsidRDefault="00BD3E40" w:rsidP="00BD3E40">
      <w:pPr>
        <w:rPr>
          <w:rFonts w:cs="Arial"/>
          <w:sz w:val="22"/>
          <w:szCs w:val="22"/>
          <w:lang w:val="fr-FR"/>
        </w:rPr>
      </w:pPr>
    </w:p>
    <w:p w14:paraId="51108F8B" w14:textId="77777777" w:rsidR="00BD3E40" w:rsidRPr="00BD3E40" w:rsidRDefault="00BD3E40" w:rsidP="00BD3E40">
      <w:pPr>
        <w:rPr>
          <w:rFonts w:cs="Arial"/>
          <w:b/>
          <w:bCs/>
          <w:sz w:val="22"/>
          <w:szCs w:val="22"/>
          <w:lang w:val="fr-FR"/>
        </w:rPr>
      </w:pPr>
      <w:r w:rsidRPr="00BD3E40">
        <w:rPr>
          <w:rFonts w:cs="Arial"/>
          <w:b/>
          <w:bCs/>
          <w:sz w:val="22"/>
          <w:szCs w:val="22"/>
          <w:lang w:val="fr-FR"/>
        </w:rPr>
        <w:t xml:space="preserve">Généralités: </w:t>
      </w:r>
    </w:p>
    <w:p w14:paraId="035FA0F7" w14:textId="77777777" w:rsidR="00BD3E40" w:rsidRPr="00BD3E40" w:rsidRDefault="00BD3E40" w:rsidP="00BD3E40">
      <w:pPr>
        <w:rPr>
          <w:rFonts w:cs="Arial"/>
          <w:sz w:val="22"/>
          <w:szCs w:val="22"/>
          <w:lang w:val="fr-FR"/>
        </w:rPr>
      </w:pPr>
    </w:p>
    <w:p w14:paraId="06AED291"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En vertu du paragraphe 2 du Mémorandum d’entente sur la conservation des requins migrateurs, le </w:t>
      </w:r>
      <w:proofErr w:type="spellStart"/>
      <w:r w:rsidRPr="00BD3E40">
        <w:rPr>
          <w:rFonts w:cs="Arial"/>
          <w:sz w:val="22"/>
          <w:szCs w:val="22"/>
          <w:lang w:val="fr-FR"/>
        </w:rPr>
        <w:t>MdE</w:t>
      </w:r>
      <w:proofErr w:type="spellEnd"/>
      <w:r w:rsidRPr="00BD3E40">
        <w:rPr>
          <w:rFonts w:cs="Arial"/>
          <w:sz w:val="22"/>
          <w:szCs w:val="22"/>
          <w:lang w:val="fr-FR"/>
        </w:rPr>
        <w:t xml:space="preserve"> s’applique à toutes les espèces de requins migrateurs inscrites à l’Annexe 1 de ce Mémorandum d’entente.</w:t>
      </w:r>
    </w:p>
    <w:p w14:paraId="7BD0A5F1" w14:textId="77777777" w:rsidR="00BD3E40" w:rsidRPr="00BD3E40" w:rsidRDefault="00BD3E40" w:rsidP="00087CB5">
      <w:pPr>
        <w:ind w:left="709"/>
        <w:jc w:val="both"/>
        <w:rPr>
          <w:rFonts w:cs="Arial"/>
          <w:sz w:val="22"/>
          <w:szCs w:val="22"/>
          <w:lang w:val="fr-FR"/>
        </w:rPr>
      </w:pPr>
    </w:p>
    <w:p w14:paraId="0E7B0145"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En outre, au paragraphe 3p du </w:t>
      </w:r>
      <w:proofErr w:type="spellStart"/>
      <w:r w:rsidRPr="00BD3E40">
        <w:rPr>
          <w:rFonts w:cs="Arial"/>
          <w:sz w:val="22"/>
          <w:szCs w:val="22"/>
          <w:lang w:val="fr-FR"/>
        </w:rPr>
        <w:t>MdE</w:t>
      </w:r>
      <w:proofErr w:type="spellEnd"/>
      <w:r w:rsidRPr="00BD3E40">
        <w:rPr>
          <w:rFonts w:cs="Arial"/>
          <w:sz w:val="22"/>
          <w:szCs w:val="22"/>
          <w:lang w:val="fr-FR"/>
        </w:rPr>
        <w:t xml:space="preserve">, les requins sont définis comme suit: «toute espèce, sous-espèce ou population de requin migrateur de la classe des </w:t>
      </w:r>
      <w:proofErr w:type="spellStart"/>
      <w:r w:rsidRPr="00BD3E40">
        <w:rPr>
          <w:rFonts w:cs="Arial"/>
          <w:sz w:val="22"/>
          <w:szCs w:val="22"/>
          <w:lang w:val="fr-FR"/>
        </w:rPr>
        <w:t>Chondrichthyes</w:t>
      </w:r>
      <w:proofErr w:type="spellEnd"/>
      <w:r w:rsidRPr="00BD3E40">
        <w:rPr>
          <w:rFonts w:cs="Arial"/>
          <w:sz w:val="22"/>
          <w:szCs w:val="22"/>
          <w:lang w:val="fr-FR"/>
        </w:rPr>
        <w:t xml:space="preserve"> (qui inclut les requins, les raies et les </w:t>
      </w:r>
      <w:proofErr w:type="spellStart"/>
      <w:r w:rsidRPr="00BD3E40">
        <w:rPr>
          <w:rFonts w:cs="Arial"/>
          <w:sz w:val="22"/>
          <w:szCs w:val="22"/>
          <w:lang w:val="fr-FR"/>
        </w:rPr>
        <w:t>poissons-scies</w:t>
      </w:r>
      <w:proofErr w:type="spellEnd"/>
      <w:r w:rsidRPr="00BD3E40">
        <w:rPr>
          <w:rFonts w:cs="Arial"/>
          <w:sz w:val="22"/>
          <w:szCs w:val="22"/>
          <w:lang w:val="fr-FR"/>
        </w:rPr>
        <w:t xml:space="preserve"> et chimères) incluse dans l’Annexe 1 de ce Mémorandum d’entente».</w:t>
      </w:r>
    </w:p>
    <w:p w14:paraId="1FEC6B24" w14:textId="77777777" w:rsidR="00BD3E40" w:rsidRPr="00BD3E40" w:rsidRDefault="00BD3E40" w:rsidP="00087CB5">
      <w:pPr>
        <w:ind w:left="426" w:hanging="426"/>
        <w:jc w:val="both"/>
        <w:rPr>
          <w:rFonts w:cs="Arial"/>
          <w:sz w:val="22"/>
          <w:szCs w:val="22"/>
          <w:lang w:val="fr-FR"/>
        </w:rPr>
      </w:pPr>
    </w:p>
    <w:p w14:paraId="4BD70AF6"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Lors de la troisième réunion préparatoire, au cours de laquelle le </w:t>
      </w:r>
      <w:proofErr w:type="spellStart"/>
      <w:r w:rsidRPr="00BD3E40">
        <w:rPr>
          <w:rFonts w:cs="Arial"/>
          <w:sz w:val="22"/>
          <w:szCs w:val="22"/>
          <w:lang w:val="fr-FR"/>
        </w:rPr>
        <w:t>MdE</w:t>
      </w:r>
      <w:proofErr w:type="spellEnd"/>
      <w:r w:rsidRPr="00BD3E40">
        <w:rPr>
          <w:rFonts w:cs="Arial"/>
          <w:sz w:val="22"/>
          <w:szCs w:val="22"/>
          <w:lang w:val="fr-FR"/>
        </w:rPr>
        <w:t xml:space="preserve"> a été finalisé (Manille, mars 2010), les participants ont conclu qu’il ne devrait pas y avoir d’inscription automatique des espèces figurant déjà aux Annexes I ou II de la Convention, étant donné que les Signataires du </w:t>
      </w:r>
      <w:proofErr w:type="spellStart"/>
      <w:r w:rsidRPr="00BD3E40">
        <w:rPr>
          <w:rFonts w:cs="Arial"/>
          <w:sz w:val="22"/>
          <w:szCs w:val="22"/>
          <w:lang w:val="fr-FR"/>
        </w:rPr>
        <w:t>MdE</w:t>
      </w:r>
      <w:proofErr w:type="spellEnd"/>
      <w:r w:rsidRPr="00BD3E40">
        <w:rPr>
          <w:rFonts w:cs="Arial"/>
          <w:sz w:val="22"/>
          <w:szCs w:val="22"/>
          <w:lang w:val="fr-FR"/>
        </w:rPr>
        <w:t xml:space="preserve"> ne sont pas nécessairement Parties à la Convention.</w:t>
      </w:r>
    </w:p>
    <w:p w14:paraId="13CC52C4" w14:textId="77777777" w:rsidR="00BD3E40" w:rsidRPr="00BD3E40" w:rsidRDefault="00BD3E40" w:rsidP="00087CB5">
      <w:pPr>
        <w:ind w:left="426" w:hanging="426"/>
        <w:jc w:val="both"/>
        <w:rPr>
          <w:rFonts w:cs="Arial"/>
          <w:sz w:val="22"/>
          <w:szCs w:val="22"/>
          <w:lang w:val="fr-FR"/>
        </w:rPr>
      </w:pPr>
    </w:p>
    <w:p w14:paraId="208FE30D"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Au paragraphe 20 du </w:t>
      </w:r>
      <w:proofErr w:type="spellStart"/>
      <w:r w:rsidRPr="00BD3E40">
        <w:rPr>
          <w:rFonts w:cs="Arial"/>
          <w:sz w:val="22"/>
          <w:szCs w:val="22"/>
          <w:lang w:val="fr-FR"/>
        </w:rPr>
        <w:t>MdE</w:t>
      </w:r>
      <w:proofErr w:type="spellEnd"/>
      <w:r w:rsidRPr="00BD3E40">
        <w:rPr>
          <w:rFonts w:cs="Arial"/>
          <w:sz w:val="22"/>
          <w:szCs w:val="22"/>
          <w:lang w:val="fr-FR"/>
        </w:rPr>
        <w:t>, il est spécifié que tout amendement proposé à l’Annexe 1 devrait être évalué par les Signataires à chaque session de la Réunion des Signataires. Le paragraphe 33 stipule que les modifications devraient être apportées par consensus.</w:t>
      </w:r>
    </w:p>
    <w:p w14:paraId="4B0625E4" w14:textId="77777777" w:rsidR="00BD3E40" w:rsidRPr="00BD3E40" w:rsidRDefault="00BD3E40" w:rsidP="00087CB5">
      <w:pPr>
        <w:jc w:val="both"/>
        <w:rPr>
          <w:rFonts w:cs="Arial"/>
          <w:sz w:val="22"/>
          <w:szCs w:val="22"/>
          <w:lang w:val="fr-FR"/>
        </w:rPr>
      </w:pPr>
    </w:p>
    <w:p w14:paraId="45E87033" w14:textId="77777777" w:rsidR="00BD3E40" w:rsidRPr="00BD3E40" w:rsidRDefault="00BD3E40" w:rsidP="00087CB5">
      <w:pPr>
        <w:jc w:val="both"/>
        <w:rPr>
          <w:rFonts w:cs="Arial"/>
          <w:b/>
          <w:bCs/>
          <w:sz w:val="22"/>
          <w:szCs w:val="22"/>
          <w:lang w:val="fr-FR"/>
        </w:rPr>
      </w:pPr>
      <w:r w:rsidRPr="00BD3E40">
        <w:rPr>
          <w:rFonts w:cs="Arial"/>
          <w:b/>
          <w:bCs/>
          <w:sz w:val="22"/>
          <w:szCs w:val="22"/>
          <w:lang w:val="fr-FR"/>
        </w:rPr>
        <w:t xml:space="preserve">Procédure pour modifier la liste des espèces (Annexe 1) du </w:t>
      </w:r>
      <w:proofErr w:type="spellStart"/>
      <w:r w:rsidRPr="00BD3E40">
        <w:rPr>
          <w:rFonts w:cs="Arial"/>
          <w:b/>
          <w:bCs/>
          <w:sz w:val="22"/>
          <w:szCs w:val="22"/>
          <w:lang w:val="fr-FR"/>
        </w:rPr>
        <w:t>MdE</w:t>
      </w:r>
      <w:proofErr w:type="spellEnd"/>
      <w:r w:rsidRPr="00BD3E40">
        <w:rPr>
          <w:rFonts w:cs="Arial"/>
          <w:b/>
          <w:bCs/>
          <w:sz w:val="22"/>
          <w:szCs w:val="22"/>
          <w:lang w:val="fr-FR"/>
        </w:rPr>
        <w:t>:</w:t>
      </w:r>
    </w:p>
    <w:p w14:paraId="01251C3D" w14:textId="77777777" w:rsidR="00BD3E40" w:rsidRPr="00BD3E40" w:rsidRDefault="00BD3E40" w:rsidP="00087CB5">
      <w:pPr>
        <w:jc w:val="both"/>
        <w:rPr>
          <w:rFonts w:cs="Arial"/>
          <w:sz w:val="22"/>
          <w:szCs w:val="22"/>
          <w:lang w:val="fr-FR"/>
        </w:rPr>
      </w:pPr>
    </w:p>
    <w:p w14:paraId="07B8FD1F" w14:textId="45901D15"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L’Annexe 1 peut être modifiée par consensus à chaque session de la Réunion des Signataires</w:t>
      </w:r>
      <w:r w:rsidR="00087CB5">
        <w:rPr>
          <w:rFonts w:cs="Arial"/>
          <w:sz w:val="22"/>
          <w:szCs w:val="22"/>
          <w:lang w:val="fr-FR"/>
        </w:rPr>
        <w:t>.</w:t>
      </w:r>
    </w:p>
    <w:p w14:paraId="5ED34123" w14:textId="77777777" w:rsidR="00BD3E40" w:rsidRPr="00BD3E40" w:rsidRDefault="00BD3E40" w:rsidP="00087CB5">
      <w:pPr>
        <w:ind w:left="426" w:hanging="426"/>
        <w:jc w:val="both"/>
        <w:rPr>
          <w:rFonts w:cs="Arial"/>
          <w:sz w:val="22"/>
          <w:szCs w:val="22"/>
          <w:lang w:val="fr-FR"/>
        </w:rPr>
      </w:pPr>
    </w:p>
    <w:p w14:paraId="6976CDDE" w14:textId="74612BE5"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Tout signataire peut présenter une proposition de modification</w:t>
      </w:r>
      <w:r w:rsidR="00087CB5">
        <w:rPr>
          <w:rFonts w:cs="Arial"/>
          <w:sz w:val="22"/>
          <w:szCs w:val="22"/>
          <w:lang w:val="fr-FR"/>
        </w:rPr>
        <w:t>.</w:t>
      </w:r>
    </w:p>
    <w:p w14:paraId="0DC4A042" w14:textId="77777777" w:rsidR="00BD3E40" w:rsidRPr="00BD3E40" w:rsidRDefault="00BD3E40" w:rsidP="00087CB5">
      <w:pPr>
        <w:ind w:left="426" w:hanging="426"/>
        <w:jc w:val="both"/>
        <w:rPr>
          <w:rFonts w:cs="Arial"/>
          <w:sz w:val="22"/>
          <w:szCs w:val="22"/>
          <w:lang w:val="fr-FR"/>
        </w:rPr>
      </w:pPr>
    </w:p>
    <w:p w14:paraId="26782C3A" w14:textId="483AD44C" w:rsidR="00BD3E40" w:rsidRPr="00BD3E40" w:rsidRDefault="00BD3E40" w:rsidP="00087CB5">
      <w:pPr>
        <w:numPr>
          <w:ilvl w:val="0"/>
          <w:numId w:val="29"/>
        </w:numPr>
        <w:spacing w:after="120"/>
        <w:ind w:left="426" w:hanging="426"/>
        <w:jc w:val="both"/>
        <w:rPr>
          <w:rFonts w:cs="Arial"/>
          <w:sz w:val="22"/>
          <w:szCs w:val="22"/>
          <w:lang w:val="fr-FR"/>
        </w:rPr>
      </w:pPr>
      <w:r w:rsidRPr="00BD3E40">
        <w:rPr>
          <w:rFonts w:cs="Arial"/>
          <w:sz w:val="22"/>
          <w:szCs w:val="22"/>
          <w:lang w:val="fr-FR"/>
        </w:rPr>
        <w:t>Le processus et le moment de soumission doit être comme suit:</w:t>
      </w:r>
    </w:p>
    <w:p w14:paraId="6B4580C3" w14:textId="47E4AA8E" w:rsidR="00BD3E40" w:rsidRPr="00BD3E40" w:rsidRDefault="00087CB5" w:rsidP="00B9206C">
      <w:pPr>
        <w:numPr>
          <w:ilvl w:val="0"/>
          <w:numId w:val="30"/>
        </w:numPr>
        <w:spacing w:after="40"/>
        <w:ind w:left="993" w:hanging="425"/>
        <w:jc w:val="both"/>
        <w:rPr>
          <w:rFonts w:cs="Arial"/>
          <w:sz w:val="22"/>
          <w:szCs w:val="22"/>
          <w:lang w:val="fr-FR"/>
        </w:rPr>
      </w:pPr>
      <w:r>
        <w:rPr>
          <w:rFonts w:cs="Arial"/>
          <w:sz w:val="22"/>
          <w:szCs w:val="22"/>
          <w:lang w:val="fr-FR"/>
        </w:rPr>
        <w:t>l</w:t>
      </w:r>
      <w:r w:rsidR="00BD3E40" w:rsidRPr="00BD3E40">
        <w:rPr>
          <w:rFonts w:cs="Arial"/>
          <w:sz w:val="22"/>
          <w:szCs w:val="22"/>
          <w:lang w:val="fr-FR"/>
        </w:rPr>
        <w:t xml:space="preserve">es signataires devraient s’efforcer de fournir le texte de toute proposition de modification accompagné de son exposé des motifs, fondé sur les meilleures données scientifiques disponibles, au Secrétariat cent cinquante </w:t>
      </w:r>
      <w:r>
        <w:rPr>
          <w:rFonts w:cs="Arial"/>
          <w:sz w:val="22"/>
          <w:szCs w:val="22"/>
          <w:lang w:val="fr-FR"/>
        </w:rPr>
        <w:t>jours au moins avant la réunion ;</w:t>
      </w:r>
    </w:p>
    <w:p w14:paraId="6469B4EB" w14:textId="223DD538" w:rsidR="00BD3E40" w:rsidRPr="00BD3E40" w:rsidRDefault="00087CB5" w:rsidP="00B9206C">
      <w:pPr>
        <w:numPr>
          <w:ilvl w:val="0"/>
          <w:numId w:val="30"/>
        </w:numPr>
        <w:spacing w:after="40"/>
        <w:ind w:left="993" w:hanging="425"/>
        <w:jc w:val="both"/>
        <w:rPr>
          <w:rFonts w:cs="Arial"/>
          <w:sz w:val="22"/>
          <w:szCs w:val="22"/>
          <w:lang w:val="fr-FR"/>
        </w:rPr>
      </w:pPr>
      <w:r>
        <w:rPr>
          <w:rFonts w:cs="Arial"/>
          <w:sz w:val="22"/>
          <w:szCs w:val="22"/>
          <w:lang w:val="fr-FR"/>
        </w:rPr>
        <w:t>l</w:t>
      </w:r>
      <w:r w:rsidR="00BD3E40" w:rsidRPr="00BD3E40">
        <w:rPr>
          <w:rFonts w:cs="Arial"/>
          <w:sz w:val="22"/>
          <w:szCs w:val="22"/>
          <w:lang w:val="fr-FR"/>
        </w:rPr>
        <w:t>e Secrétariat doit communiquer rapidement la proposition à tous les Signa</w:t>
      </w:r>
      <w:r>
        <w:rPr>
          <w:rFonts w:cs="Arial"/>
          <w:sz w:val="22"/>
          <w:szCs w:val="22"/>
          <w:lang w:val="fr-FR"/>
        </w:rPr>
        <w:t>taires et au Comité consultatif ;</w:t>
      </w:r>
    </w:p>
    <w:p w14:paraId="464E93C8" w14:textId="09BEC2ED" w:rsidR="00BD3E40" w:rsidRPr="00BD3E40" w:rsidRDefault="00087CB5" w:rsidP="00B9206C">
      <w:pPr>
        <w:numPr>
          <w:ilvl w:val="0"/>
          <w:numId w:val="30"/>
        </w:numPr>
        <w:spacing w:after="40"/>
        <w:ind w:left="993" w:hanging="425"/>
        <w:jc w:val="both"/>
        <w:rPr>
          <w:rFonts w:cs="Arial"/>
          <w:sz w:val="22"/>
          <w:szCs w:val="22"/>
          <w:lang w:val="fr-FR"/>
        </w:rPr>
      </w:pPr>
      <w:r>
        <w:rPr>
          <w:rFonts w:cs="Arial"/>
          <w:sz w:val="22"/>
          <w:szCs w:val="22"/>
          <w:lang w:val="fr-FR"/>
        </w:rPr>
        <w:t>l</w:t>
      </w:r>
      <w:r w:rsidR="00BD3E40" w:rsidRPr="00BD3E40">
        <w:rPr>
          <w:rFonts w:cs="Arial"/>
          <w:sz w:val="22"/>
          <w:szCs w:val="22"/>
          <w:lang w:val="fr-FR"/>
        </w:rPr>
        <w:t xml:space="preserve">es Signataires devraient s’efforcer de fournir tout commentaire sur le texte au Secrétariat soixante jours au moins </w:t>
      </w:r>
      <w:r>
        <w:rPr>
          <w:rFonts w:cs="Arial"/>
          <w:sz w:val="22"/>
          <w:szCs w:val="22"/>
          <w:lang w:val="fr-FR"/>
        </w:rPr>
        <w:t>avant l’ouverture de la réunion ;</w:t>
      </w:r>
    </w:p>
    <w:p w14:paraId="4F883586" w14:textId="710CFADF" w:rsidR="00BD3E40" w:rsidRPr="00BD3E40" w:rsidRDefault="00087CB5" w:rsidP="00B9206C">
      <w:pPr>
        <w:numPr>
          <w:ilvl w:val="0"/>
          <w:numId w:val="30"/>
        </w:numPr>
        <w:ind w:left="993" w:hanging="425"/>
        <w:jc w:val="both"/>
        <w:rPr>
          <w:rFonts w:cs="Arial"/>
          <w:sz w:val="22"/>
          <w:szCs w:val="22"/>
          <w:lang w:val="fr-FR"/>
        </w:rPr>
      </w:pPr>
      <w:r>
        <w:rPr>
          <w:rFonts w:cs="Arial"/>
          <w:sz w:val="22"/>
          <w:szCs w:val="22"/>
          <w:lang w:val="fr-FR"/>
        </w:rPr>
        <w:lastRenderedPageBreak/>
        <w:t>l</w:t>
      </w:r>
      <w:r w:rsidR="00BD3E40" w:rsidRPr="00BD3E40">
        <w:rPr>
          <w:rFonts w:cs="Arial"/>
          <w:sz w:val="22"/>
          <w:szCs w:val="22"/>
          <w:lang w:val="fr-FR"/>
        </w:rPr>
        <w:t>e Secrétariat doit communiquer ces commentaires aux Signataires dès que</w:t>
      </w:r>
      <w:r>
        <w:rPr>
          <w:rFonts w:cs="Arial"/>
          <w:sz w:val="22"/>
          <w:szCs w:val="22"/>
          <w:lang w:val="fr-FR"/>
        </w:rPr>
        <w:t xml:space="preserve"> possible après les avoir reçus ;</w:t>
      </w:r>
    </w:p>
    <w:p w14:paraId="377A35AA" w14:textId="2AE6A236" w:rsidR="00BD3E40" w:rsidRDefault="00087CB5" w:rsidP="00B9206C">
      <w:pPr>
        <w:numPr>
          <w:ilvl w:val="0"/>
          <w:numId w:val="30"/>
        </w:numPr>
        <w:ind w:left="993" w:hanging="425"/>
        <w:jc w:val="both"/>
        <w:rPr>
          <w:rFonts w:cs="Arial"/>
          <w:sz w:val="22"/>
          <w:szCs w:val="22"/>
          <w:lang w:val="fr-FR"/>
        </w:rPr>
      </w:pPr>
      <w:r>
        <w:rPr>
          <w:rFonts w:cs="Arial"/>
          <w:sz w:val="22"/>
          <w:szCs w:val="22"/>
          <w:lang w:val="fr-FR"/>
        </w:rPr>
        <w:t>l</w:t>
      </w:r>
      <w:r w:rsidR="00BD3E40" w:rsidRPr="00BD3E40">
        <w:rPr>
          <w:rFonts w:cs="Arial"/>
          <w:sz w:val="22"/>
          <w:szCs w:val="22"/>
          <w:lang w:val="fr-FR"/>
        </w:rPr>
        <w:t>es Signataires ont le droit de refuser de prendre en considération toute proposition de modification qui serait soumise au Secrétariat après les délais dont il est question dans ce paragraphe.</w:t>
      </w:r>
    </w:p>
    <w:p w14:paraId="232C795F" w14:textId="77777777" w:rsidR="00087CB5" w:rsidRPr="00BD3E40" w:rsidRDefault="00087CB5" w:rsidP="00087CB5">
      <w:pPr>
        <w:jc w:val="both"/>
        <w:rPr>
          <w:rFonts w:cs="Arial"/>
          <w:sz w:val="22"/>
          <w:szCs w:val="22"/>
          <w:lang w:val="fr-FR"/>
        </w:rPr>
      </w:pPr>
    </w:p>
    <w:p w14:paraId="4E290F61"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Les modifications doivent être prises par consensus tel que prévu aux paragraphes 18 et 33 de ce </w:t>
      </w:r>
      <w:proofErr w:type="spellStart"/>
      <w:r w:rsidRPr="00BD3E40">
        <w:rPr>
          <w:rFonts w:cs="Arial"/>
          <w:sz w:val="22"/>
          <w:szCs w:val="22"/>
          <w:lang w:val="fr-FR"/>
        </w:rPr>
        <w:t>MdE</w:t>
      </w:r>
      <w:proofErr w:type="spellEnd"/>
      <w:r w:rsidRPr="00BD3E40">
        <w:rPr>
          <w:rFonts w:cs="Arial"/>
          <w:sz w:val="22"/>
          <w:szCs w:val="22"/>
          <w:lang w:val="fr-FR"/>
        </w:rPr>
        <w:t>;</w:t>
      </w:r>
    </w:p>
    <w:p w14:paraId="183FE704" w14:textId="77777777" w:rsidR="00BD3E40" w:rsidRPr="00BD3E40" w:rsidRDefault="00BD3E40" w:rsidP="00BD3E40">
      <w:pPr>
        <w:rPr>
          <w:rFonts w:cs="Arial"/>
          <w:sz w:val="22"/>
          <w:szCs w:val="22"/>
          <w:lang w:val="fr-FR"/>
        </w:rPr>
      </w:pPr>
    </w:p>
    <w:p w14:paraId="668E31B5" w14:textId="7C3901FB"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Les espèces de requins ou de raies inscrites aux Annexes de la CMS seront automatiquement examinées par le Comité consultatif en tant qu’inscriptions proposées à l'Annexe 1 du </w:t>
      </w:r>
      <w:proofErr w:type="spellStart"/>
      <w:r w:rsidRPr="00BD3E40">
        <w:rPr>
          <w:rFonts w:cs="Arial"/>
          <w:sz w:val="22"/>
          <w:szCs w:val="22"/>
          <w:lang w:val="fr-FR"/>
        </w:rPr>
        <w:t>MdE</w:t>
      </w:r>
      <w:proofErr w:type="spellEnd"/>
      <w:r w:rsidRPr="00BD3E40">
        <w:rPr>
          <w:rFonts w:cs="Arial"/>
          <w:sz w:val="22"/>
          <w:szCs w:val="22"/>
          <w:lang w:val="fr-FR"/>
        </w:rPr>
        <w:t xml:space="preserve">. Ceci est sans préjudice de la décision d'inscription finale du </w:t>
      </w:r>
      <w:proofErr w:type="spellStart"/>
      <w:r w:rsidRPr="00BD3E40">
        <w:rPr>
          <w:rFonts w:cs="Arial"/>
          <w:sz w:val="22"/>
          <w:szCs w:val="22"/>
          <w:lang w:val="fr-FR"/>
        </w:rPr>
        <w:t>MdE</w:t>
      </w:r>
      <w:proofErr w:type="spellEnd"/>
      <w:r w:rsidRPr="00BD3E40">
        <w:rPr>
          <w:rFonts w:cs="Arial"/>
          <w:sz w:val="22"/>
          <w:szCs w:val="22"/>
          <w:lang w:val="fr-FR"/>
        </w:rPr>
        <w:t>; et</w:t>
      </w:r>
    </w:p>
    <w:p w14:paraId="7815E1DD" w14:textId="77777777" w:rsidR="00BD3E40" w:rsidRPr="00BD3E40" w:rsidRDefault="00BD3E40" w:rsidP="00087CB5">
      <w:pPr>
        <w:ind w:left="426" w:hanging="426"/>
        <w:rPr>
          <w:rFonts w:cs="Arial"/>
          <w:sz w:val="22"/>
          <w:szCs w:val="22"/>
          <w:lang w:val="fr-FR"/>
        </w:rPr>
      </w:pPr>
    </w:p>
    <w:p w14:paraId="22124292" w14:textId="00D620FD" w:rsidR="00BD3E40" w:rsidRPr="00087CB5" w:rsidRDefault="00BD3E40" w:rsidP="00087CB5">
      <w:pPr>
        <w:numPr>
          <w:ilvl w:val="0"/>
          <w:numId w:val="29"/>
        </w:numPr>
        <w:spacing w:after="120"/>
        <w:ind w:left="426" w:hanging="426"/>
        <w:jc w:val="both"/>
        <w:rPr>
          <w:rFonts w:cs="Arial"/>
          <w:sz w:val="22"/>
          <w:szCs w:val="22"/>
          <w:lang w:val="fr-FR"/>
        </w:rPr>
      </w:pPr>
      <w:r w:rsidRPr="00BD3E40">
        <w:rPr>
          <w:rFonts w:cs="Arial"/>
          <w:sz w:val="22"/>
          <w:szCs w:val="22"/>
          <w:lang w:val="fr-FR"/>
        </w:rPr>
        <w:t>Si la COP de la CMS convient de l'inclusion d'une nouvelle espèce de requin ou de raie à l'Annexe I ou II de la CMS, la procédure suivante devrait être appliquée et le règlement intérieur et les termes de référence pour le Comité consultatif adaptés respectivement:</w:t>
      </w:r>
    </w:p>
    <w:p w14:paraId="3190A631" w14:textId="2E2E5F2F" w:rsidR="00BD3E40" w:rsidRPr="00BD3E40" w:rsidRDefault="00B9206C" w:rsidP="00087CB5">
      <w:pPr>
        <w:numPr>
          <w:ilvl w:val="0"/>
          <w:numId w:val="31"/>
        </w:numPr>
        <w:spacing w:after="40"/>
        <w:ind w:left="993" w:hanging="426"/>
        <w:rPr>
          <w:rFonts w:cs="Arial"/>
          <w:sz w:val="22"/>
          <w:szCs w:val="22"/>
          <w:lang w:val="fr-FR"/>
        </w:rPr>
      </w:pPr>
      <w:r>
        <w:rPr>
          <w:rFonts w:cs="Arial"/>
          <w:sz w:val="22"/>
          <w:szCs w:val="22"/>
          <w:lang w:val="fr-FR"/>
        </w:rPr>
        <w:t>l</w:t>
      </w:r>
      <w:r w:rsidR="00BD3E40" w:rsidRPr="00BD3E40">
        <w:rPr>
          <w:rFonts w:cs="Arial"/>
          <w:sz w:val="22"/>
          <w:szCs w:val="22"/>
          <w:lang w:val="fr-FR"/>
        </w:rPr>
        <w:t>e Secrétariat transmet les documents pertinents pour cette espèce au Comité con</w:t>
      </w:r>
      <w:r>
        <w:rPr>
          <w:rFonts w:cs="Arial"/>
          <w:sz w:val="22"/>
          <w:szCs w:val="22"/>
          <w:lang w:val="fr-FR"/>
        </w:rPr>
        <w:t xml:space="preserve">sultatif du </w:t>
      </w:r>
      <w:proofErr w:type="spellStart"/>
      <w:r>
        <w:rPr>
          <w:rFonts w:cs="Arial"/>
          <w:sz w:val="22"/>
          <w:szCs w:val="22"/>
          <w:lang w:val="fr-FR"/>
        </w:rPr>
        <w:t>MdE</w:t>
      </w:r>
      <w:proofErr w:type="spellEnd"/>
      <w:r>
        <w:rPr>
          <w:rFonts w:cs="Arial"/>
          <w:sz w:val="22"/>
          <w:szCs w:val="22"/>
          <w:lang w:val="fr-FR"/>
        </w:rPr>
        <w:t xml:space="preserve"> sur les requins ;</w:t>
      </w:r>
    </w:p>
    <w:p w14:paraId="154486C3" w14:textId="56DE0772" w:rsidR="00BD3E40" w:rsidRPr="00BD3E40" w:rsidRDefault="00B9206C" w:rsidP="00087CB5">
      <w:pPr>
        <w:numPr>
          <w:ilvl w:val="0"/>
          <w:numId w:val="31"/>
        </w:numPr>
        <w:spacing w:after="40"/>
        <w:ind w:left="993" w:hanging="426"/>
        <w:rPr>
          <w:rFonts w:cs="Arial"/>
          <w:sz w:val="22"/>
          <w:szCs w:val="22"/>
          <w:lang w:val="fr-FR"/>
        </w:rPr>
      </w:pPr>
      <w:r>
        <w:rPr>
          <w:rFonts w:cs="Arial"/>
          <w:sz w:val="22"/>
          <w:szCs w:val="22"/>
          <w:lang w:val="fr-FR"/>
        </w:rPr>
        <w:t>l</w:t>
      </w:r>
      <w:r w:rsidR="00BD3E40" w:rsidRPr="00BD3E40">
        <w:rPr>
          <w:rFonts w:cs="Arial"/>
          <w:sz w:val="22"/>
          <w:szCs w:val="22"/>
          <w:lang w:val="fr-FR"/>
        </w:rPr>
        <w:t>edit Comité consultatif devrait analyser la proposition sur la base de ces documents (et si nécessaire tout autres données pertinentes disponibles ou autre littérature) et préparer pour la Réunion des Signataires une recommandation concernant l'inscription de l'espèce à l'</w:t>
      </w:r>
      <w:r>
        <w:rPr>
          <w:rFonts w:cs="Arial"/>
          <w:sz w:val="22"/>
          <w:szCs w:val="22"/>
          <w:lang w:val="fr-FR"/>
        </w:rPr>
        <w:t xml:space="preserve">Annexe 1 du </w:t>
      </w:r>
      <w:proofErr w:type="spellStart"/>
      <w:r>
        <w:rPr>
          <w:rFonts w:cs="Arial"/>
          <w:sz w:val="22"/>
          <w:szCs w:val="22"/>
          <w:lang w:val="fr-FR"/>
        </w:rPr>
        <w:t>MdE</w:t>
      </w:r>
      <w:proofErr w:type="spellEnd"/>
      <w:r>
        <w:rPr>
          <w:rFonts w:cs="Arial"/>
          <w:sz w:val="22"/>
          <w:szCs w:val="22"/>
          <w:lang w:val="fr-FR"/>
        </w:rPr>
        <w:t xml:space="preserve"> sur les requins ;</w:t>
      </w:r>
    </w:p>
    <w:p w14:paraId="00F29BF8" w14:textId="25DB35F2" w:rsidR="00BD3E40" w:rsidRPr="00BD3E40" w:rsidRDefault="00B9206C" w:rsidP="00087CB5">
      <w:pPr>
        <w:numPr>
          <w:ilvl w:val="0"/>
          <w:numId w:val="31"/>
        </w:numPr>
        <w:ind w:left="993" w:hanging="426"/>
        <w:rPr>
          <w:rFonts w:cs="Arial"/>
          <w:sz w:val="22"/>
          <w:szCs w:val="22"/>
          <w:lang w:val="fr-FR"/>
        </w:rPr>
      </w:pPr>
      <w:r>
        <w:rPr>
          <w:rFonts w:cs="Arial"/>
          <w:sz w:val="22"/>
          <w:szCs w:val="22"/>
          <w:lang w:val="fr-FR"/>
        </w:rPr>
        <w:t>l</w:t>
      </w:r>
      <w:r w:rsidR="00BD3E40" w:rsidRPr="00BD3E40">
        <w:rPr>
          <w:rFonts w:cs="Arial"/>
          <w:sz w:val="22"/>
          <w:szCs w:val="22"/>
          <w:lang w:val="fr-FR"/>
        </w:rPr>
        <w:t xml:space="preserve">a Réunion des Signataires du </w:t>
      </w:r>
      <w:proofErr w:type="spellStart"/>
      <w:r w:rsidR="00BD3E40" w:rsidRPr="00BD3E40">
        <w:rPr>
          <w:rFonts w:cs="Arial"/>
          <w:sz w:val="22"/>
          <w:szCs w:val="22"/>
          <w:lang w:val="fr-FR"/>
        </w:rPr>
        <w:t>MdE</w:t>
      </w:r>
      <w:proofErr w:type="spellEnd"/>
      <w:r w:rsidR="00BD3E40" w:rsidRPr="00BD3E40">
        <w:rPr>
          <w:rFonts w:cs="Arial"/>
          <w:sz w:val="22"/>
          <w:szCs w:val="22"/>
          <w:lang w:val="fr-FR"/>
        </w:rPr>
        <w:t xml:space="preserve"> sur les requins devrait décider par consensus de l'inclusion de la nouvelle espèce à l'Annexe 1 du </w:t>
      </w:r>
      <w:proofErr w:type="spellStart"/>
      <w:r w:rsidR="00BD3E40" w:rsidRPr="00BD3E40">
        <w:rPr>
          <w:rFonts w:cs="Arial"/>
          <w:sz w:val="22"/>
          <w:szCs w:val="22"/>
          <w:lang w:val="fr-FR"/>
        </w:rPr>
        <w:t>MdE</w:t>
      </w:r>
      <w:proofErr w:type="spellEnd"/>
      <w:r w:rsidR="00BD3E40" w:rsidRPr="00BD3E40">
        <w:rPr>
          <w:rFonts w:cs="Arial"/>
          <w:sz w:val="22"/>
          <w:szCs w:val="22"/>
          <w:lang w:val="fr-FR"/>
        </w:rPr>
        <w:t xml:space="preserve"> sur les requins.</w:t>
      </w:r>
    </w:p>
    <w:p w14:paraId="76562440" w14:textId="77777777" w:rsidR="00BD3E40" w:rsidRPr="00BD3E40" w:rsidRDefault="00BD3E40" w:rsidP="00BD3E40">
      <w:pPr>
        <w:rPr>
          <w:rFonts w:cs="Arial"/>
          <w:sz w:val="22"/>
          <w:szCs w:val="22"/>
          <w:lang w:val="fr-FR"/>
        </w:rPr>
      </w:pPr>
    </w:p>
    <w:p w14:paraId="61B99D11" w14:textId="77777777" w:rsidR="00BD3E40" w:rsidRPr="00BD3E40" w:rsidRDefault="00BD3E40" w:rsidP="00BD3E40">
      <w:pPr>
        <w:rPr>
          <w:rFonts w:cs="Arial"/>
          <w:b/>
          <w:sz w:val="22"/>
          <w:szCs w:val="22"/>
          <w:lang w:val="fr-FR"/>
        </w:rPr>
      </w:pPr>
      <w:r w:rsidRPr="00BD3E40">
        <w:rPr>
          <w:rFonts w:cs="Arial"/>
          <w:b/>
          <w:sz w:val="22"/>
          <w:szCs w:val="22"/>
          <w:lang w:val="fr-FR"/>
        </w:rPr>
        <w:t xml:space="preserve">Critères d’inscription des espèces sur la Liste des espèces (Annexe 1) du </w:t>
      </w:r>
      <w:proofErr w:type="spellStart"/>
      <w:r w:rsidRPr="00BD3E40">
        <w:rPr>
          <w:rFonts w:cs="Arial"/>
          <w:b/>
          <w:sz w:val="22"/>
          <w:szCs w:val="22"/>
          <w:lang w:val="fr-FR"/>
        </w:rPr>
        <w:t>MdE</w:t>
      </w:r>
      <w:proofErr w:type="spellEnd"/>
      <w:r w:rsidRPr="00BD3E40">
        <w:rPr>
          <w:rFonts w:cs="Arial"/>
          <w:b/>
          <w:sz w:val="22"/>
          <w:szCs w:val="22"/>
          <w:lang w:val="fr-FR"/>
        </w:rPr>
        <w:t>:</w:t>
      </w:r>
    </w:p>
    <w:p w14:paraId="28CB7742" w14:textId="77777777" w:rsidR="00BD3E40" w:rsidRPr="00BD3E40" w:rsidRDefault="00BD3E40" w:rsidP="00BD3E40">
      <w:pPr>
        <w:rPr>
          <w:rFonts w:cs="Arial"/>
          <w:sz w:val="22"/>
          <w:szCs w:val="22"/>
          <w:lang w:val="fr-FR"/>
        </w:rPr>
      </w:pPr>
    </w:p>
    <w:p w14:paraId="20AAEFE7" w14:textId="77777777" w:rsidR="00BD3E40" w:rsidRPr="00BD3E40" w:rsidRDefault="00BD3E40" w:rsidP="00BD3E40">
      <w:pPr>
        <w:rPr>
          <w:rFonts w:cs="Arial"/>
          <w:b/>
          <w:sz w:val="22"/>
          <w:szCs w:val="22"/>
          <w:lang w:val="fr-FR"/>
        </w:rPr>
      </w:pPr>
      <w:r w:rsidRPr="00BD3E40">
        <w:rPr>
          <w:rFonts w:cs="Arial"/>
          <w:b/>
          <w:bCs/>
          <w:sz w:val="22"/>
          <w:szCs w:val="22"/>
          <w:lang w:val="fr-FR"/>
        </w:rPr>
        <w:t>Généralités</w:t>
      </w:r>
    </w:p>
    <w:p w14:paraId="58C22AFC" w14:textId="77777777" w:rsidR="00BD3E40" w:rsidRPr="00BD3E40" w:rsidRDefault="00BD3E40" w:rsidP="00BD3E40">
      <w:pPr>
        <w:rPr>
          <w:rFonts w:cs="Arial"/>
          <w:sz w:val="22"/>
          <w:szCs w:val="22"/>
          <w:lang w:val="fr-FR"/>
        </w:rPr>
      </w:pPr>
    </w:p>
    <w:p w14:paraId="2BF7FCFC"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Le </w:t>
      </w:r>
      <w:proofErr w:type="spellStart"/>
      <w:r w:rsidRPr="00BD3E40">
        <w:rPr>
          <w:rFonts w:cs="Arial"/>
          <w:sz w:val="22"/>
          <w:szCs w:val="22"/>
          <w:lang w:val="fr-FR"/>
        </w:rPr>
        <w:t>MdE</w:t>
      </w:r>
      <w:proofErr w:type="spellEnd"/>
      <w:r w:rsidRPr="00BD3E40">
        <w:rPr>
          <w:rFonts w:cs="Arial"/>
          <w:sz w:val="22"/>
          <w:szCs w:val="22"/>
          <w:lang w:val="fr-FR"/>
        </w:rPr>
        <w:t xml:space="preserve"> sur les requins est un accord conforme à l’Article IV(4) de la Convention sur la conservation des espèces migratrices appartenant à la faune sauvage, qui avait été établi pour les espèces de requins migrateurs inscrites à l’Annexe II de la Convention.</w:t>
      </w:r>
    </w:p>
    <w:p w14:paraId="63B1178D" w14:textId="77777777" w:rsidR="00BD3E40" w:rsidRPr="00BD3E40" w:rsidRDefault="00BD3E40" w:rsidP="00087CB5">
      <w:pPr>
        <w:ind w:left="426" w:hanging="426"/>
        <w:jc w:val="both"/>
        <w:rPr>
          <w:rFonts w:cs="Arial"/>
          <w:sz w:val="22"/>
          <w:szCs w:val="22"/>
          <w:lang w:val="fr-FR"/>
        </w:rPr>
      </w:pPr>
    </w:p>
    <w:p w14:paraId="1BE16B6B"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Bien que l’Annexe 1 du </w:t>
      </w:r>
      <w:proofErr w:type="spellStart"/>
      <w:r w:rsidRPr="00BD3E40">
        <w:rPr>
          <w:rFonts w:cs="Arial"/>
          <w:sz w:val="22"/>
          <w:szCs w:val="22"/>
          <w:lang w:val="fr-FR"/>
        </w:rPr>
        <w:t>MdE</w:t>
      </w:r>
      <w:proofErr w:type="spellEnd"/>
      <w:r w:rsidRPr="00BD3E40">
        <w:rPr>
          <w:rFonts w:cs="Arial"/>
          <w:sz w:val="22"/>
          <w:szCs w:val="22"/>
          <w:lang w:val="fr-FR"/>
        </w:rPr>
        <w:t xml:space="preserve"> soit indépendante des Annexes I et II de la CMS, les Signataires ont décidé d'adopter les critères généraux de la Convention régissant l’inscription d’espèces à l’Annexe II. Ces critères sont énoncés à l’Article IV(1) de la Convention et ont été adaptés au </w:t>
      </w:r>
      <w:proofErr w:type="spellStart"/>
      <w:r w:rsidRPr="00BD3E40">
        <w:rPr>
          <w:rFonts w:cs="Arial"/>
          <w:sz w:val="22"/>
          <w:szCs w:val="22"/>
          <w:lang w:val="fr-FR"/>
        </w:rPr>
        <w:t>MdE</w:t>
      </w:r>
      <w:proofErr w:type="spellEnd"/>
      <w:r w:rsidRPr="00BD3E40">
        <w:rPr>
          <w:rFonts w:cs="Arial"/>
          <w:sz w:val="22"/>
          <w:szCs w:val="22"/>
          <w:lang w:val="fr-FR"/>
        </w:rPr>
        <w:t xml:space="preserve">. </w:t>
      </w:r>
    </w:p>
    <w:p w14:paraId="31E2B0A1" w14:textId="77777777" w:rsidR="00BD3E40" w:rsidRPr="00BD3E40" w:rsidRDefault="00BD3E40" w:rsidP="00087CB5">
      <w:pPr>
        <w:jc w:val="both"/>
        <w:rPr>
          <w:rFonts w:cs="Arial"/>
          <w:sz w:val="22"/>
          <w:szCs w:val="22"/>
          <w:lang w:val="fr-FR"/>
        </w:rPr>
      </w:pPr>
    </w:p>
    <w:p w14:paraId="609ED246" w14:textId="77777777" w:rsidR="00BD3E40" w:rsidRPr="00BD3E40" w:rsidRDefault="00BD3E40" w:rsidP="00087CB5">
      <w:pPr>
        <w:jc w:val="both"/>
        <w:rPr>
          <w:rFonts w:cs="Arial"/>
          <w:b/>
          <w:sz w:val="22"/>
          <w:szCs w:val="22"/>
          <w:lang w:val="fr-FR"/>
        </w:rPr>
      </w:pPr>
      <w:r w:rsidRPr="00BD3E40">
        <w:rPr>
          <w:rFonts w:cs="Arial"/>
          <w:b/>
          <w:sz w:val="22"/>
          <w:szCs w:val="22"/>
          <w:lang w:val="fr-FR"/>
        </w:rPr>
        <w:t>Critères d'Inscription</w:t>
      </w:r>
    </w:p>
    <w:p w14:paraId="47F5B3B3" w14:textId="77777777" w:rsidR="00BD3E40" w:rsidRPr="00BD3E40" w:rsidRDefault="00BD3E40" w:rsidP="00087CB5">
      <w:pPr>
        <w:jc w:val="both"/>
        <w:rPr>
          <w:rFonts w:cs="Arial"/>
          <w:sz w:val="22"/>
          <w:szCs w:val="22"/>
          <w:lang w:val="fr-FR"/>
        </w:rPr>
      </w:pPr>
    </w:p>
    <w:p w14:paraId="37FBC5ED" w14:textId="77777777" w:rsidR="00BD3E40" w:rsidRPr="00BD3E40" w:rsidRDefault="00BD3E40" w:rsidP="00087CB5">
      <w:pPr>
        <w:numPr>
          <w:ilvl w:val="0"/>
          <w:numId w:val="29"/>
        </w:numPr>
        <w:ind w:left="426" w:hanging="426"/>
        <w:jc w:val="both"/>
        <w:rPr>
          <w:rFonts w:cs="Arial"/>
          <w:sz w:val="22"/>
          <w:szCs w:val="22"/>
          <w:lang w:val="fr-FR"/>
        </w:rPr>
      </w:pPr>
      <w:r w:rsidRPr="00BD3E40">
        <w:rPr>
          <w:rFonts w:cs="Arial"/>
          <w:sz w:val="22"/>
          <w:szCs w:val="22"/>
          <w:lang w:val="fr-FR"/>
        </w:rPr>
        <w:t xml:space="preserve">L'Annexe 1 du </w:t>
      </w:r>
      <w:proofErr w:type="spellStart"/>
      <w:r w:rsidRPr="00BD3E40">
        <w:rPr>
          <w:rFonts w:cs="Arial"/>
          <w:sz w:val="22"/>
          <w:szCs w:val="22"/>
          <w:lang w:val="fr-FR"/>
        </w:rPr>
        <w:t>MdE</w:t>
      </w:r>
      <w:proofErr w:type="spellEnd"/>
      <w:r w:rsidRPr="00BD3E40">
        <w:rPr>
          <w:rFonts w:cs="Arial"/>
          <w:sz w:val="22"/>
          <w:szCs w:val="22"/>
          <w:lang w:val="fr-FR"/>
        </w:rPr>
        <w:t xml:space="preserve"> énumère des espèces migratrices dont l'état de conservation est défavorable et qui nécessitent la conclusion d'accords internationaux pour leur conservation et leur gestion, ainsi que celles dont l'état de conservation bénéficierait d'une manière significative de la coopération internationale qui résulterait d'un accord international.</w:t>
      </w:r>
    </w:p>
    <w:p w14:paraId="6679C81D" w14:textId="68FEFC51" w:rsidR="00BD3E40" w:rsidRPr="00BD3E40" w:rsidRDefault="00396579" w:rsidP="00396579">
      <w:pPr>
        <w:ind w:left="426" w:hanging="426"/>
        <w:jc w:val="both"/>
        <w:rPr>
          <w:rFonts w:cs="Arial"/>
          <w:sz w:val="22"/>
          <w:szCs w:val="22"/>
          <w:lang w:val="fr-FR"/>
        </w:rPr>
      </w:pPr>
      <w:r>
        <w:rPr>
          <w:rFonts w:cs="Arial"/>
          <w:sz w:val="22"/>
          <w:szCs w:val="22"/>
          <w:lang w:val="fr-FR"/>
        </w:rPr>
        <w:br w:type="page"/>
      </w:r>
    </w:p>
    <w:p w14:paraId="556EAFCD" w14:textId="6A9599A8" w:rsidR="00BD3E40" w:rsidRPr="00B9206C" w:rsidRDefault="00BD3E40" w:rsidP="00B9206C">
      <w:pPr>
        <w:numPr>
          <w:ilvl w:val="0"/>
          <w:numId w:val="29"/>
        </w:numPr>
        <w:spacing w:after="120"/>
        <w:ind w:left="425" w:hanging="425"/>
        <w:jc w:val="both"/>
        <w:rPr>
          <w:rFonts w:cs="Arial"/>
          <w:sz w:val="22"/>
          <w:szCs w:val="22"/>
          <w:lang w:val="x-none"/>
        </w:rPr>
      </w:pPr>
      <w:r w:rsidRPr="00BD3E40">
        <w:rPr>
          <w:rFonts w:cs="Arial"/>
          <w:sz w:val="22"/>
          <w:szCs w:val="22"/>
          <w:lang w:val="fr-FR"/>
        </w:rPr>
        <w:lastRenderedPageBreak/>
        <w:t xml:space="preserve">Conformément au paragraphe 3 d) du </w:t>
      </w:r>
      <w:proofErr w:type="spellStart"/>
      <w:r w:rsidRPr="00BD3E40">
        <w:rPr>
          <w:rFonts w:cs="Arial"/>
          <w:sz w:val="22"/>
          <w:szCs w:val="22"/>
          <w:lang w:val="fr-FR"/>
        </w:rPr>
        <w:t>MdE</w:t>
      </w:r>
      <w:proofErr w:type="spellEnd"/>
      <w:r w:rsidRPr="00BD3E40">
        <w:rPr>
          <w:rFonts w:cs="Arial"/>
          <w:sz w:val="22"/>
          <w:szCs w:val="22"/>
          <w:lang w:val="fr-FR"/>
        </w:rPr>
        <w:t>, l'état de conservation est jugé "favorable" lorsque toutes les conditions suivantes sont remplies:</w:t>
      </w:r>
    </w:p>
    <w:p w14:paraId="2B536DF4" w14:textId="3DBC6197" w:rsidR="00B9206C" w:rsidRPr="00396579" w:rsidRDefault="00BD3E40" w:rsidP="00396579">
      <w:pPr>
        <w:numPr>
          <w:ilvl w:val="0"/>
          <w:numId w:val="33"/>
        </w:numPr>
        <w:spacing w:after="40"/>
        <w:ind w:left="993"/>
        <w:jc w:val="both"/>
        <w:rPr>
          <w:rFonts w:cs="Arial"/>
          <w:sz w:val="22"/>
          <w:szCs w:val="22"/>
          <w:lang w:val="x-none"/>
        </w:rPr>
      </w:pPr>
      <w:r w:rsidRPr="00BD3E40">
        <w:rPr>
          <w:rFonts w:cs="Arial"/>
          <w:sz w:val="22"/>
          <w:szCs w:val="22"/>
          <w:lang w:val="x-none"/>
        </w:rPr>
        <w:t xml:space="preserve">les </w:t>
      </w:r>
      <w:proofErr w:type="spellStart"/>
      <w:r w:rsidRPr="00BD3E40">
        <w:rPr>
          <w:rFonts w:cs="Arial"/>
          <w:sz w:val="22"/>
          <w:szCs w:val="22"/>
          <w:lang w:val="x-none"/>
        </w:rPr>
        <w:t>données</w:t>
      </w:r>
      <w:proofErr w:type="spellEnd"/>
      <w:r w:rsidRPr="00BD3E40">
        <w:rPr>
          <w:rFonts w:cs="Arial"/>
          <w:sz w:val="22"/>
          <w:szCs w:val="22"/>
          <w:lang w:val="x-none"/>
        </w:rPr>
        <w:t xml:space="preserve"> </w:t>
      </w:r>
      <w:proofErr w:type="spellStart"/>
      <w:r w:rsidRPr="00BD3E40">
        <w:rPr>
          <w:rFonts w:cs="Arial"/>
          <w:sz w:val="22"/>
          <w:szCs w:val="22"/>
          <w:lang w:val="x-none"/>
        </w:rPr>
        <w:t>dynamiques</w:t>
      </w:r>
      <w:proofErr w:type="spellEnd"/>
      <w:r w:rsidRPr="00BD3E40">
        <w:rPr>
          <w:rFonts w:cs="Arial"/>
          <w:sz w:val="22"/>
          <w:szCs w:val="22"/>
          <w:lang w:val="x-none"/>
        </w:rPr>
        <w:t xml:space="preserve"> de la population </w:t>
      </w:r>
      <w:proofErr w:type="spellStart"/>
      <w:r w:rsidRPr="00BD3E40">
        <w:rPr>
          <w:rFonts w:cs="Arial"/>
          <w:sz w:val="22"/>
          <w:szCs w:val="22"/>
          <w:lang w:val="x-none"/>
        </w:rPr>
        <w:t>relativement</w:t>
      </w:r>
      <w:proofErr w:type="spellEnd"/>
      <w:r w:rsidRPr="00BD3E40">
        <w:rPr>
          <w:rFonts w:cs="Arial"/>
          <w:sz w:val="22"/>
          <w:szCs w:val="22"/>
          <w:lang w:val="x-none"/>
        </w:rPr>
        <w:t xml:space="preserve"> à des points de </w:t>
      </w:r>
      <w:proofErr w:type="spellStart"/>
      <w:r w:rsidRPr="00BD3E40">
        <w:rPr>
          <w:rFonts w:cs="Arial"/>
          <w:sz w:val="22"/>
          <w:szCs w:val="22"/>
          <w:lang w:val="x-none"/>
        </w:rPr>
        <w:t>référence</w:t>
      </w:r>
      <w:proofErr w:type="spellEnd"/>
      <w:r w:rsidRPr="00BD3E40">
        <w:rPr>
          <w:rFonts w:cs="Arial"/>
          <w:sz w:val="22"/>
          <w:szCs w:val="22"/>
          <w:lang w:val="x-none"/>
        </w:rPr>
        <w:t xml:space="preserve"> </w:t>
      </w:r>
      <w:proofErr w:type="spellStart"/>
      <w:r w:rsidRPr="00BD3E40">
        <w:rPr>
          <w:rFonts w:cs="Arial"/>
          <w:sz w:val="22"/>
          <w:szCs w:val="22"/>
          <w:lang w:val="x-none"/>
        </w:rPr>
        <w:t>biologiques</w:t>
      </w:r>
      <w:proofErr w:type="spellEnd"/>
      <w:r w:rsidRPr="00BD3E40">
        <w:rPr>
          <w:rFonts w:cs="Arial"/>
          <w:sz w:val="22"/>
          <w:szCs w:val="22"/>
          <w:lang w:val="x-none"/>
        </w:rPr>
        <w:t xml:space="preserve"> </w:t>
      </w:r>
      <w:proofErr w:type="spellStart"/>
      <w:r w:rsidRPr="00BD3E40">
        <w:rPr>
          <w:rFonts w:cs="Arial"/>
          <w:sz w:val="22"/>
          <w:szCs w:val="22"/>
          <w:lang w:val="x-none"/>
        </w:rPr>
        <w:t>appropriés</w:t>
      </w:r>
      <w:proofErr w:type="spellEnd"/>
      <w:r w:rsidRPr="00BD3E40">
        <w:rPr>
          <w:rFonts w:cs="Arial"/>
          <w:sz w:val="22"/>
          <w:szCs w:val="22"/>
          <w:lang w:val="x-none"/>
        </w:rPr>
        <w:t xml:space="preserve"> </w:t>
      </w:r>
      <w:proofErr w:type="spellStart"/>
      <w:r w:rsidRPr="00BD3E40">
        <w:rPr>
          <w:rFonts w:cs="Arial"/>
          <w:sz w:val="22"/>
          <w:szCs w:val="22"/>
          <w:lang w:val="x-none"/>
        </w:rPr>
        <w:t>indiquent</w:t>
      </w:r>
      <w:proofErr w:type="spellEnd"/>
      <w:r w:rsidRPr="00BD3E40">
        <w:rPr>
          <w:rFonts w:cs="Arial"/>
          <w:sz w:val="22"/>
          <w:szCs w:val="22"/>
          <w:lang w:val="x-none"/>
        </w:rPr>
        <w:t xml:space="preserve"> que des </w:t>
      </w:r>
      <w:proofErr w:type="spellStart"/>
      <w:r w:rsidRPr="00BD3E40">
        <w:rPr>
          <w:rFonts w:cs="Arial"/>
          <w:sz w:val="22"/>
          <w:szCs w:val="22"/>
          <w:lang w:val="x-none"/>
        </w:rPr>
        <w:t>requins</w:t>
      </w:r>
      <w:proofErr w:type="spellEnd"/>
      <w:r w:rsidRPr="00BD3E40">
        <w:rPr>
          <w:rFonts w:cs="Arial"/>
          <w:sz w:val="22"/>
          <w:szCs w:val="22"/>
          <w:lang w:val="x-none"/>
        </w:rPr>
        <w:t xml:space="preserve"> </w:t>
      </w:r>
      <w:proofErr w:type="spellStart"/>
      <w:r w:rsidRPr="00BD3E40">
        <w:rPr>
          <w:rFonts w:cs="Arial"/>
          <w:sz w:val="22"/>
          <w:szCs w:val="22"/>
          <w:lang w:val="x-none"/>
        </w:rPr>
        <w:t>migrateurs</w:t>
      </w:r>
      <w:proofErr w:type="spellEnd"/>
      <w:r w:rsidRPr="00BD3E40">
        <w:rPr>
          <w:rFonts w:cs="Arial"/>
          <w:sz w:val="22"/>
          <w:szCs w:val="22"/>
          <w:lang w:val="x-none"/>
        </w:rPr>
        <w:t xml:space="preserve"> </w:t>
      </w:r>
      <w:proofErr w:type="spellStart"/>
      <w:r w:rsidRPr="00BD3E40">
        <w:rPr>
          <w:rFonts w:cs="Arial"/>
          <w:sz w:val="22"/>
          <w:szCs w:val="22"/>
          <w:lang w:val="x-none"/>
        </w:rPr>
        <w:t>sont</w:t>
      </w:r>
      <w:proofErr w:type="spellEnd"/>
      <w:r w:rsidRPr="00BD3E40">
        <w:rPr>
          <w:rFonts w:cs="Arial"/>
          <w:sz w:val="22"/>
          <w:szCs w:val="22"/>
          <w:lang w:val="x-none"/>
        </w:rPr>
        <w:t xml:space="preserve"> durables sur le long </w:t>
      </w:r>
      <w:proofErr w:type="spellStart"/>
      <w:r w:rsidRPr="00BD3E40">
        <w:rPr>
          <w:rFonts w:cs="Arial"/>
          <w:sz w:val="22"/>
          <w:szCs w:val="22"/>
          <w:lang w:val="x-none"/>
        </w:rPr>
        <w:t>terme</w:t>
      </w:r>
      <w:proofErr w:type="spellEnd"/>
      <w:r w:rsidRPr="00BD3E40">
        <w:rPr>
          <w:rFonts w:cs="Arial"/>
          <w:sz w:val="22"/>
          <w:szCs w:val="22"/>
          <w:lang w:val="x-none"/>
        </w:rPr>
        <w:t xml:space="preserve"> </w:t>
      </w:r>
      <w:proofErr w:type="spellStart"/>
      <w:r w:rsidRPr="00BD3E40">
        <w:rPr>
          <w:rFonts w:cs="Arial"/>
          <w:sz w:val="22"/>
          <w:szCs w:val="22"/>
          <w:lang w:val="x-none"/>
        </w:rPr>
        <w:t>comme</w:t>
      </w:r>
      <w:proofErr w:type="spellEnd"/>
      <w:r w:rsidRPr="00BD3E40">
        <w:rPr>
          <w:rFonts w:cs="Arial"/>
          <w:sz w:val="22"/>
          <w:szCs w:val="22"/>
          <w:lang w:val="x-none"/>
        </w:rPr>
        <w:t xml:space="preserve"> </w:t>
      </w:r>
      <w:proofErr w:type="spellStart"/>
      <w:r w:rsidRPr="00BD3E40">
        <w:rPr>
          <w:rFonts w:cs="Arial"/>
          <w:sz w:val="22"/>
          <w:szCs w:val="22"/>
          <w:lang w:val="x-none"/>
        </w:rPr>
        <w:t>élément</w:t>
      </w:r>
      <w:proofErr w:type="spellEnd"/>
      <w:r w:rsidRPr="00BD3E40">
        <w:rPr>
          <w:rFonts w:cs="Arial"/>
          <w:sz w:val="22"/>
          <w:szCs w:val="22"/>
          <w:lang w:val="x-none"/>
        </w:rPr>
        <w:t xml:space="preserve"> viable de </w:t>
      </w:r>
      <w:proofErr w:type="spellStart"/>
      <w:r w:rsidRPr="00BD3E40">
        <w:rPr>
          <w:rFonts w:cs="Arial"/>
          <w:sz w:val="22"/>
          <w:szCs w:val="22"/>
          <w:lang w:val="x-none"/>
        </w:rPr>
        <w:t>leurs</w:t>
      </w:r>
      <w:proofErr w:type="spellEnd"/>
      <w:r w:rsidRPr="00BD3E40">
        <w:rPr>
          <w:rFonts w:cs="Arial"/>
          <w:sz w:val="22"/>
          <w:szCs w:val="22"/>
          <w:lang w:val="x-none"/>
        </w:rPr>
        <w:t xml:space="preserve"> </w:t>
      </w:r>
      <w:proofErr w:type="spellStart"/>
      <w:r w:rsidRPr="00BD3E40">
        <w:rPr>
          <w:rFonts w:cs="Arial"/>
          <w:sz w:val="22"/>
          <w:szCs w:val="22"/>
          <w:lang w:val="x-none"/>
        </w:rPr>
        <w:t>écosystèmes</w:t>
      </w:r>
      <w:proofErr w:type="spellEnd"/>
      <w:r w:rsidRPr="00BD3E40">
        <w:rPr>
          <w:rFonts w:cs="Arial"/>
          <w:sz w:val="22"/>
          <w:szCs w:val="22"/>
          <w:lang w:val="x-none"/>
        </w:rPr>
        <w:t>;</w:t>
      </w:r>
    </w:p>
    <w:p w14:paraId="50A45DDA" w14:textId="77777777" w:rsidR="00BD3E40" w:rsidRPr="00BD3E40" w:rsidRDefault="00BD3E40" w:rsidP="00B9206C">
      <w:pPr>
        <w:numPr>
          <w:ilvl w:val="0"/>
          <w:numId w:val="33"/>
        </w:numPr>
        <w:spacing w:after="40"/>
        <w:ind w:left="1134"/>
        <w:jc w:val="both"/>
        <w:rPr>
          <w:rFonts w:cs="Arial"/>
          <w:sz w:val="22"/>
          <w:szCs w:val="22"/>
          <w:lang w:val="x-none"/>
        </w:rPr>
      </w:pPr>
      <w:proofErr w:type="spellStart"/>
      <w:r w:rsidRPr="00BD3E40">
        <w:rPr>
          <w:rFonts w:cs="Arial"/>
          <w:sz w:val="22"/>
          <w:szCs w:val="22"/>
          <w:lang w:val="x-none"/>
        </w:rPr>
        <w:t>l'aire</w:t>
      </w:r>
      <w:proofErr w:type="spellEnd"/>
      <w:r w:rsidRPr="00BD3E40">
        <w:rPr>
          <w:rFonts w:cs="Arial"/>
          <w:sz w:val="22"/>
          <w:szCs w:val="22"/>
          <w:lang w:val="x-none"/>
        </w:rPr>
        <w:t xml:space="preserve"> de </w:t>
      </w:r>
      <w:proofErr w:type="spellStart"/>
      <w:r w:rsidRPr="00BD3E40">
        <w:rPr>
          <w:rFonts w:cs="Arial"/>
          <w:sz w:val="22"/>
          <w:szCs w:val="22"/>
          <w:lang w:val="x-none"/>
        </w:rPr>
        <w:t>répartition</w:t>
      </w:r>
      <w:proofErr w:type="spellEnd"/>
      <w:r w:rsidRPr="00BD3E40">
        <w:rPr>
          <w:rFonts w:cs="Arial"/>
          <w:sz w:val="22"/>
          <w:szCs w:val="22"/>
          <w:lang w:val="x-none"/>
        </w:rPr>
        <w:t xml:space="preserve"> et les habitats des </w:t>
      </w:r>
      <w:proofErr w:type="spellStart"/>
      <w:r w:rsidRPr="00BD3E40">
        <w:rPr>
          <w:rFonts w:cs="Arial"/>
          <w:sz w:val="22"/>
          <w:szCs w:val="22"/>
          <w:lang w:val="x-none"/>
        </w:rPr>
        <w:t>requins</w:t>
      </w:r>
      <w:proofErr w:type="spellEnd"/>
      <w:r w:rsidRPr="00BD3E40">
        <w:rPr>
          <w:rFonts w:cs="Arial"/>
          <w:sz w:val="22"/>
          <w:szCs w:val="22"/>
          <w:lang w:val="x-none"/>
        </w:rPr>
        <w:t xml:space="preserve"> </w:t>
      </w:r>
      <w:proofErr w:type="spellStart"/>
      <w:r w:rsidRPr="00BD3E40">
        <w:rPr>
          <w:rFonts w:cs="Arial"/>
          <w:sz w:val="22"/>
          <w:szCs w:val="22"/>
          <w:lang w:val="x-none"/>
        </w:rPr>
        <w:t>migrateurs</w:t>
      </w:r>
      <w:proofErr w:type="spellEnd"/>
      <w:r w:rsidRPr="00BD3E40">
        <w:rPr>
          <w:rFonts w:cs="Arial"/>
          <w:sz w:val="22"/>
          <w:szCs w:val="22"/>
          <w:lang w:val="x-none"/>
        </w:rPr>
        <w:t xml:space="preserve"> ne </w:t>
      </w:r>
      <w:proofErr w:type="spellStart"/>
      <w:r w:rsidRPr="00BD3E40">
        <w:rPr>
          <w:rFonts w:cs="Arial"/>
          <w:sz w:val="22"/>
          <w:szCs w:val="22"/>
          <w:lang w:val="x-none"/>
        </w:rPr>
        <w:t>sont</w:t>
      </w:r>
      <w:proofErr w:type="spellEnd"/>
      <w:r w:rsidRPr="00BD3E40">
        <w:rPr>
          <w:rFonts w:cs="Arial"/>
          <w:sz w:val="22"/>
          <w:szCs w:val="22"/>
          <w:lang w:val="x-none"/>
        </w:rPr>
        <w:t xml:space="preserve"> </w:t>
      </w:r>
      <w:proofErr w:type="spellStart"/>
      <w:r w:rsidRPr="00BD3E40">
        <w:rPr>
          <w:rFonts w:cs="Arial"/>
          <w:sz w:val="22"/>
          <w:szCs w:val="22"/>
          <w:lang w:val="x-none"/>
        </w:rPr>
        <w:t>ni</w:t>
      </w:r>
      <w:proofErr w:type="spellEnd"/>
      <w:r w:rsidRPr="00BD3E40">
        <w:rPr>
          <w:rFonts w:cs="Arial"/>
          <w:sz w:val="22"/>
          <w:szCs w:val="22"/>
          <w:lang w:val="x-none"/>
        </w:rPr>
        <w:t xml:space="preserve"> </w:t>
      </w:r>
      <w:proofErr w:type="spellStart"/>
      <w:r w:rsidRPr="00BD3E40">
        <w:rPr>
          <w:rFonts w:cs="Arial"/>
          <w:sz w:val="22"/>
          <w:szCs w:val="22"/>
          <w:lang w:val="x-none"/>
        </w:rPr>
        <w:t>en</w:t>
      </w:r>
      <w:proofErr w:type="spellEnd"/>
      <w:r w:rsidRPr="00BD3E40">
        <w:rPr>
          <w:rFonts w:cs="Arial"/>
          <w:sz w:val="22"/>
          <w:szCs w:val="22"/>
          <w:lang w:val="x-none"/>
        </w:rPr>
        <w:t xml:space="preserve"> train de se </w:t>
      </w:r>
      <w:proofErr w:type="spellStart"/>
      <w:r w:rsidRPr="00BD3E40">
        <w:rPr>
          <w:rFonts w:cs="Arial"/>
          <w:sz w:val="22"/>
          <w:szCs w:val="22"/>
          <w:lang w:val="x-none"/>
        </w:rPr>
        <w:t>réduire</w:t>
      </w:r>
      <w:proofErr w:type="spellEnd"/>
      <w:r w:rsidRPr="00BD3E40">
        <w:rPr>
          <w:rFonts w:cs="Arial"/>
          <w:sz w:val="22"/>
          <w:szCs w:val="22"/>
          <w:lang w:val="x-none"/>
        </w:rPr>
        <w:t xml:space="preserve"> </w:t>
      </w:r>
      <w:proofErr w:type="spellStart"/>
      <w:r w:rsidRPr="00BD3E40">
        <w:rPr>
          <w:rFonts w:cs="Arial"/>
          <w:sz w:val="22"/>
          <w:szCs w:val="22"/>
          <w:lang w:val="x-none"/>
        </w:rPr>
        <w:t>ni</w:t>
      </w:r>
      <w:proofErr w:type="spellEnd"/>
      <w:r w:rsidRPr="00BD3E40">
        <w:rPr>
          <w:rFonts w:cs="Arial"/>
          <w:sz w:val="22"/>
          <w:szCs w:val="22"/>
          <w:lang w:val="x-none"/>
        </w:rPr>
        <w:t xml:space="preserve"> </w:t>
      </w:r>
      <w:proofErr w:type="spellStart"/>
      <w:r w:rsidRPr="00BD3E40">
        <w:rPr>
          <w:rFonts w:cs="Arial"/>
          <w:sz w:val="22"/>
          <w:szCs w:val="22"/>
          <w:lang w:val="x-none"/>
        </w:rPr>
        <w:t>susceptibles</w:t>
      </w:r>
      <w:proofErr w:type="spellEnd"/>
      <w:r w:rsidRPr="00BD3E40">
        <w:rPr>
          <w:rFonts w:cs="Arial"/>
          <w:sz w:val="22"/>
          <w:szCs w:val="22"/>
          <w:lang w:val="x-none"/>
        </w:rPr>
        <w:t xml:space="preserve"> d'être </w:t>
      </w:r>
      <w:proofErr w:type="spellStart"/>
      <w:r w:rsidRPr="00BD3E40">
        <w:rPr>
          <w:rFonts w:cs="Arial"/>
          <w:sz w:val="22"/>
          <w:szCs w:val="22"/>
          <w:lang w:val="x-none"/>
        </w:rPr>
        <w:t>réduits</w:t>
      </w:r>
      <w:proofErr w:type="spellEnd"/>
      <w:r w:rsidRPr="00BD3E40">
        <w:rPr>
          <w:rFonts w:cs="Arial"/>
          <w:sz w:val="22"/>
          <w:szCs w:val="22"/>
          <w:lang w:val="x-none"/>
        </w:rPr>
        <w:t xml:space="preserve"> à </w:t>
      </w:r>
      <w:proofErr w:type="spellStart"/>
      <w:r w:rsidRPr="00BD3E40">
        <w:rPr>
          <w:rFonts w:cs="Arial"/>
          <w:sz w:val="22"/>
          <w:szCs w:val="22"/>
          <w:lang w:val="x-none"/>
        </w:rPr>
        <w:t>l'avenir</w:t>
      </w:r>
      <w:proofErr w:type="spellEnd"/>
      <w:r w:rsidRPr="00BD3E40">
        <w:rPr>
          <w:rFonts w:cs="Arial"/>
          <w:sz w:val="22"/>
          <w:szCs w:val="22"/>
          <w:lang w:val="x-none"/>
        </w:rPr>
        <w:t xml:space="preserve"> à des </w:t>
      </w:r>
      <w:proofErr w:type="spellStart"/>
      <w:r w:rsidRPr="00BD3E40">
        <w:rPr>
          <w:rFonts w:cs="Arial"/>
          <w:sz w:val="22"/>
          <w:szCs w:val="22"/>
          <w:lang w:val="x-none"/>
        </w:rPr>
        <w:t>niveaux</w:t>
      </w:r>
      <w:proofErr w:type="spellEnd"/>
      <w:r w:rsidRPr="00BD3E40">
        <w:rPr>
          <w:rFonts w:cs="Arial"/>
          <w:sz w:val="22"/>
          <w:szCs w:val="22"/>
          <w:lang w:val="x-none"/>
        </w:rPr>
        <w:t xml:space="preserve"> qui influent à long </w:t>
      </w:r>
      <w:proofErr w:type="spellStart"/>
      <w:r w:rsidRPr="00BD3E40">
        <w:rPr>
          <w:rFonts w:cs="Arial"/>
          <w:sz w:val="22"/>
          <w:szCs w:val="22"/>
          <w:lang w:val="x-none"/>
        </w:rPr>
        <w:t>terme</w:t>
      </w:r>
      <w:proofErr w:type="spellEnd"/>
      <w:r w:rsidRPr="00BD3E40">
        <w:rPr>
          <w:rFonts w:cs="Arial"/>
          <w:sz w:val="22"/>
          <w:szCs w:val="22"/>
          <w:lang w:val="x-none"/>
        </w:rPr>
        <w:t xml:space="preserve"> sur la </w:t>
      </w:r>
      <w:proofErr w:type="spellStart"/>
      <w:r w:rsidRPr="00BD3E40">
        <w:rPr>
          <w:rFonts w:cs="Arial"/>
          <w:sz w:val="22"/>
          <w:szCs w:val="22"/>
          <w:lang w:val="x-none"/>
        </w:rPr>
        <w:t>viabilité</w:t>
      </w:r>
      <w:proofErr w:type="spellEnd"/>
      <w:r w:rsidRPr="00BD3E40">
        <w:rPr>
          <w:rFonts w:cs="Arial"/>
          <w:sz w:val="22"/>
          <w:szCs w:val="22"/>
          <w:lang w:val="x-none"/>
        </w:rPr>
        <w:t xml:space="preserve"> de </w:t>
      </w:r>
      <w:proofErr w:type="spellStart"/>
      <w:r w:rsidRPr="00BD3E40">
        <w:rPr>
          <w:rFonts w:cs="Arial"/>
          <w:sz w:val="22"/>
          <w:szCs w:val="22"/>
          <w:lang w:val="x-none"/>
        </w:rPr>
        <w:t>leurs</w:t>
      </w:r>
      <w:proofErr w:type="spellEnd"/>
      <w:r w:rsidRPr="00BD3E40">
        <w:rPr>
          <w:rFonts w:cs="Arial"/>
          <w:sz w:val="22"/>
          <w:szCs w:val="22"/>
          <w:lang w:val="x-none"/>
        </w:rPr>
        <w:t xml:space="preserve"> populations; et</w:t>
      </w:r>
    </w:p>
    <w:p w14:paraId="4CB1480A" w14:textId="77777777" w:rsidR="00BD3E40" w:rsidRPr="00BD3E40" w:rsidRDefault="00BD3E40" w:rsidP="00B9206C">
      <w:pPr>
        <w:numPr>
          <w:ilvl w:val="0"/>
          <w:numId w:val="33"/>
        </w:numPr>
        <w:ind w:left="1134" w:hanging="357"/>
        <w:jc w:val="both"/>
        <w:rPr>
          <w:rFonts w:cs="Arial"/>
          <w:sz w:val="22"/>
          <w:szCs w:val="22"/>
          <w:lang w:val="fr-FR"/>
        </w:rPr>
      </w:pPr>
      <w:proofErr w:type="spellStart"/>
      <w:r w:rsidRPr="00BD3E40">
        <w:rPr>
          <w:rFonts w:cs="Arial"/>
          <w:sz w:val="22"/>
          <w:szCs w:val="22"/>
          <w:lang w:val="x-none"/>
        </w:rPr>
        <w:t>l'abondance</w:t>
      </w:r>
      <w:proofErr w:type="spellEnd"/>
      <w:r w:rsidRPr="00BD3E40">
        <w:rPr>
          <w:rFonts w:cs="Arial"/>
          <w:sz w:val="22"/>
          <w:szCs w:val="22"/>
          <w:lang w:val="x-none"/>
        </w:rPr>
        <w:t xml:space="preserve"> et la structure des populations de </w:t>
      </w:r>
      <w:proofErr w:type="spellStart"/>
      <w:r w:rsidRPr="00BD3E40">
        <w:rPr>
          <w:rFonts w:cs="Arial"/>
          <w:sz w:val="22"/>
          <w:szCs w:val="22"/>
          <w:lang w:val="x-none"/>
        </w:rPr>
        <w:t>requins</w:t>
      </w:r>
      <w:proofErr w:type="spellEnd"/>
      <w:r w:rsidRPr="00BD3E40">
        <w:rPr>
          <w:rFonts w:cs="Arial"/>
          <w:sz w:val="22"/>
          <w:szCs w:val="22"/>
          <w:lang w:val="x-none"/>
        </w:rPr>
        <w:t xml:space="preserve"> </w:t>
      </w:r>
      <w:proofErr w:type="spellStart"/>
      <w:r w:rsidRPr="00BD3E40">
        <w:rPr>
          <w:rFonts w:cs="Arial"/>
          <w:sz w:val="22"/>
          <w:szCs w:val="22"/>
          <w:lang w:val="x-none"/>
        </w:rPr>
        <w:t>migrateurs</w:t>
      </w:r>
      <w:proofErr w:type="spellEnd"/>
      <w:r w:rsidRPr="00BD3E40">
        <w:rPr>
          <w:rFonts w:cs="Arial"/>
          <w:sz w:val="22"/>
          <w:szCs w:val="22"/>
          <w:lang w:val="x-none"/>
        </w:rPr>
        <w:t xml:space="preserve"> </w:t>
      </w:r>
      <w:proofErr w:type="spellStart"/>
      <w:r w:rsidRPr="00BD3E40">
        <w:rPr>
          <w:rFonts w:cs="Arial"/>
          <w:sz w:val="22"/>
          <w:szCs w:val="22"/>
          <w:lang w:val="x-none"/>
        </w:rPr>
        <w:t>demeurent</w:t>
      </w:r>
      <w:proofErr w:type="spellEnd"/>
      <w:r w:rsidRPr="00BD3E40">
        <w:rPr>
          <w:rFonts w:cs="Arial"/>
          <w:sz w:val="22"/>
          <w:szCs w:val="22"/>
          <w:lang w:val="x-none"/>
        </w:rPr>
        <w:t xml:space="preserve"> à des </w:t>
      </w:r>
      <w:proofErr w:type="spellStart"/>
      <w:r w:rsidRPr="00BD3E40">
        <w:rPr>
          <w:rFonts w:cs="Arial"/>
          <w:sz w:val="22"/>
          <w:szCs w:val="22"/>
          <w:lang w:val="x-none"/>
        </w:rPr>
        <w:t>niveaux</w:t>
      </w:r>
      <w:proofErr w:type="spellEnd"/>
      <w:r w:rsidRPr="00BD3E40">
        <w:rPr>
          <w:rFonts w:cs="Arial"/>
          <w:sz w:val="22"/>
          <w:szCs w:val="22"/>
          <w:lang w:val="x-none"/>
        </w:rPr>
        <w:t xml:space="preserve"> </w:t>
      </w:r>
      <w:proofErr w:type="spellStart"/>
      <w:r w:rsidRPr="00BD3E40">
        <w:rPr>
          <w:rFonts w:cs="Arial"/>
          <w:sz w:val="22"/>
          <w:szCs w:val="22"/>
          <w:lang w:val="x-none"/>
        </w:rPr>
        <w:t>suffisants</w:t>
      </w:r>
      <w:proofErr w:type="spellEnd"/>
      <w:r w:rsidRPr="00BD3E40">
        <w:rPr>
          <w:rFonts w:cs="Arial"/>
          <w:sz w:val="22"/>
          <w:szCs w:val="22"/>
          <w:lang w:val="x-none"/>
        </w:rPr>
        <w:t xml:space="preserve"> pour </w:t>
      </w:r>
      <w:proofErr w:type="spellStart"/>
      <w:r w:rsidRPr="00BD3E40">
        <w:rPr>
          <w:rFonts w:cs="Arial"/>
          <w:sz w:val="22"/>
          <w:szCs w:val="22"/>
          <w:lang w:val="x-none"/>
        </w:rPr>
        <w:t>maintenir</w:t>
      </w:r>
      <w:proofErr w:type="spellEnd"/>
      <w:r w:rsidRPr="00BD3E40">
        <w:rPr>
          <w:rFonts w:cs="Arial"/>
          <w:sz w:val="22"/>
          <w:szCs w:val="22"/>
          <w:lang w:val="x-none"/>
        </w:rPr>
        <w:t xml:space="preserve"> </w:t>
      </w:r>
      <w:proofErr w:type="spellStart"/>
      <w:r w:rsidRPr="00BD3E40">
        <w:rPr>
          <w:rFonts w:cs="Arial"/>
          <w:sz w:val="22"/>
          <w:szCs w:val="22"/>
          <w:lang w:val="x-none"/>
        </w:rPr>
        <w:t>l’intégrité</w:t>
      </w:r>
      <w:proofErr w:type="spellEnd"/>
      <w:r w:rsidRPr="00BD3E40">
        <w:rPr>
          <w:rFonts w:cs="Arial"/>
          <w:sz w:val="22"/>
          <w:szCs w:val="22"/>
          <w:lang w:val="x-none"/>
        </w:rPr>
        <w:t xml:space="preserve"> de </w:t>
      </w:r>
      <w:proofErr w:type="spellStart"/>
      <w:r w:rsidRPr="00BD3E40">
        <w:rPr>
          <w:rFonts w:cs="Arial"/>
          <w:sz w:val="22"/>
          <w:szCs w:val="22"/>
          <w:lang w:val="x-none"/>
        </w:rPr>
        <w:t>l'écosystème</w:t>
      </w:r>
      <w:proofErr w:type="spellEnd"/>
      <w:r w:rsidRPr="00BD3E40">
        <w:rPr>
          <w:rFonts w:cs="Arial"/>
          <w:sz w:val="22"/>
          <w:szCs w:val="22"/>
          <w:lang w:val="x-none"/>
        </w:rPr>
        <w:t>.</w:t>
      </w:r>
    </w:p>
    <w:p w14:paraId="48258B4A" w14:textId="77777777" w:rsidR="00BD3E40" w:rsidRPr="00BD3E40" w:rsidRDefault="00BD3E40" w:rsidP="00BD3E40">
      <w:pPr>
        <w:rPr>
          <w:rFonts w:cs="Arial"/>
          <w:sz w:val="22"/>
          <w:szCs w:val="22"/>
          <w:lang w:val="fr-FR"/>
        </w:rPr>
      </w:pPr>
    </w:p>
    <w:p w14:paraId="5AEF039A" w14:textId="77777777" w:rsidR="00B9206C" w:rsidRDefault="00BD3E40" w:rsidP="00BD3E40">
      <w:pPr>
        <w:numPr>
          <w:ilvl w:val="0"/>
          <w:numId w:val="29"/>
        </w:numPr>
        <w:ind w:left="426" w:hanging="426"/>
        <w:rPr>
          <w:rFonts w:cs="Arial"/>
          <w:sz w:val="22"/>
          <w:szCs w:val="22"/>
          <w:lang w:val="fr-FR"/>
        </w:rPr>
      </w:pPr>
      <w:r w:rsidRPr="00BD3E40">
        <w:rPr>
          <w:rFonts w:cs="Arial"/>
          <w:sz w:val="22"/>
          <w:szCs w:val="22"/>
          <w:lang w:val="fr-FR"/>
        </w:rPr>
        <w:t xml:space="preserve">Conformément au paragraphe 3 e) du </w:t>
      </w:r>
      <w:proofErr w:type="spellStart"/>
      <w:r w:rsidRPr="00BD3E40">
        <w:rPr>
          <w:rFonts w:cs="Arial"/>
          <w:sz w:val="22"/>
          <w:szCs w:val="22"/>
          <w:lang w:val="fr-FR"/>
        </w:rPr>
        <w:t>MdE</w:t>
      </w:r>
      <w:proofErr w:type="spellEnd"/>
      <w:r w:rsidRPr="00BD3E40">
        <w:rPr>
          <w:rFonts w:cs="Arial"/>
          <w:sz w:val="22"/>
          <w:szCs w:val="22"/>
          <w:lang w:val="fr-FR"/>
        </w:rPr>
        <w:t>, l’état de conservation sera considéré comme “défavorable” lorsqu’une quelconque des  conditions ci-dessus n’est pas remplie.</w:t>
      </w:r>
    </w:p>
    <w:p w14:paraId="635AAF4B" w14:textId="77777777" w:rsidR="00B9206C" w:rsidRDefault="00B9206C" w:rsidP="00B9206C">
      <w:pPr>
        <w:ind w:left="426"/>
        <w:rPr>
          <w:rFonts w:cs="Arial"/>
          <w:sz w:val="22"/>
          <w:szCs w:val="22"/>
          <w:lang w:val="fr-FR"/>
        </w:rPr>
      </w:pPr>
    </w:p>
    <w:p w14:paraId="45F8E6D2" w14:textId="1A973547" w:rsidR="00BD3E40" w:rsidRPr="00B9206C" w:rsidRDefault="00BD3E40" w:rsidP="00B9206C">
      <w:pPr>
        <w:numPr>
          <w:ilvl w:val="0"/>
          <w:numId w:val="29"/>
        </w:numPr>
        <w:spacing w:after="120"/>
        <w:ind w:left="425" w:hanging="425"/>
        <w:rPr>
          <w:rFonts w:cs="Arial"/>
          <w:sz w:val="22"/>
          <w:szCs w:val="22"/>
          <w:lang w:val="fr-FR"/>
        </w:rPr>
      </w:pPr>
      <w:r w:rsidRPr="00B9206C">
        <w:rPr>
          <w:rFonts w:cs="Arial"/>
          <w:sz w:val="22"/>
          <w:szCs w:val="22"/>
          <w:lang w:val="fr-FR"/>
        </w:rPr>
        <w:t>L’expression « espèce migratrice » est définie par la CMS aux Articles I (1), II (1) et IV (1) et est précisée dans les notes explicatives du modèle de présentation des propositions d’amendement des Annexes de la CMS. Pour mieux différencier l’étendue géographique des migrations, les catégories suivantes devraient être appliquées :</w:t>
      </w:r>
    </w:p>
    <w:p w14:paraId="78BBEAC4" w14:textId="29B89A42" w:rsidR="00BD3E40" w:rsidRPr="00B9206C" w:rsidRDefault="00BD3E40" w:rsidP="00B9206C">
      <w:pPr>
        <w:numPr>
          <w:ilvl w:val="0"/>
          <w:numId w:val="32"/>
        </w:numPr>
        <w:spacing w:after="40"/>
        <w:ind w:left="1077" w:hanging="357"/>
        <w:jc w:val="both"/>
        <w:rPr>
          <w:rFonts w:cs="Arial"/>
          <w:sz w:val="22"/>
          <w:szCs w:val="22"/>
          <w:lang w:val="fr-FR"/>
        </w:rPr>
      </w:pPr>
      <w:r w:rsidRPr="00B9206C">
        <w:rPr>
          <w:rFonts w:cs="Arial"/>
          <w:sz w:val="22"/>
          <w:szCs w:val="22"/>
          <w:lang w:val="fr-FR"/>
        </w:rPr>
        <w:t xml:space="preserve">Grands migrateurs : Les espèces dont les migrations s’étendent à l’échelle des bassins océaniques, englobant ainsi les eaux nationales et la haute mer. </w:t>
      </w:r>
    </w:p>
    <w:p w14:paraId="5C2A514B" w14:textId="43D22C4E" w:rsidR="00BD3E40" w:rsidRPr="00B9206C" w:rsidRDefault="00BD3E40" w:rsidP="00B9206C">
      <w:pPr>
        <w:numPr>
          <w:ilvl w:val="0"/>
          <w:numId w:val="32"/>
        </w:numPr>
        <w:spacing w:after="40"/>
        <w:ind w:left="1077" w:hanging="357"/>
        <w:jc w:val="both"/>
        <w:rPr>
          <w:rFonts w:cs="Arial"/>
          <w:sz w:val="22"/>
          <w:szCs w:val="22"/>
          <w:lang w:val="fr-FR"/>
        </w:rPr>
      </w:pPr>
      <w:r w:rsidRPr="00B9206C">
        <w:rPr>
          <w:rFonts w:cs="Arial"/>
          <w:sz w:val="22"/>
          <w:szCs w:val="22"/>
          <w:lang w:val="fr-FR"/>
        </w:rPr>
        <w:t xml:space="preserve">Migrateurs régionaux : Les espèces dont les migrations s’étendent à l’échelle des mers régionales (et souvent des plateaux continentaux), même si une faible proportion de la population peut effectuer des déplacements de plus longue distance, incluant des incursions dans les bassins océaniques. </w:t>
      </w:r>
    </w:p>
    <w:p w14:paraId="5E7DA042" w14:textId="0A897F0B" w:rsidR="00BD3E40" w:rsidRPr="00B9206C" w:rsidRDefault="00BD3E40" w:rsidP="00B9206C">
      <w:pPr>
        <w:numPr>
          <w:ilvl w:val="0"/>
          <w:numId w:val="32"/>
        </w:numPr>
        <w:spacing w:after="40"/>
        <w:ind w:left="1077" w:hanging="357"/>
        <w:jc w:val="both"/>
        <w:rPr>
          <w:rFonts w:cs="Arial"/>
          <w:sz w:val="22"/>
          <w:szCs w:val="22"/>
          <w:lang w:val="fr-FR"/>
        </w:rPr>
      </w:pPr>
      <w:r w:rsidRPr="00B9206C">
        <w:rPr>
          <w:rFonts w:cs="Arial"/>
          <w:sz w:val="22"/>
          <w:szCs w:val="22"/>
          <w:lang w:val="fr-FR"/>
        </w:rPr>
        <w:t xml:space="preserve">Migrateurs </w:t>
      </w:r>
      <w:proofErr w:type="spellStart"/>
      <w:r w:rsidRPr="00B9206C">
        <w:rPr>
          <w:rFonts w:cs="Arial"/>
          <w:sz w:val="22"/>
          <w:szCs w:val="22"/>
          <w:lang w:val="fr-FR"/>
        </w:rPr>
        <w:t>sous-régionaux</w:t>
      </w:r>
      <w:proofErr w:type="spellEnd"/>
      <w:r w:rsidRPr="00B9206C">
        <w:rPr>
          <w:rFonts w:cs="Arial"/>
          <w:sz w:val="22"/>
          <w:szCs w:val="22"/>
          <w:lang w:val="fr-FR"/>
        </w:rPr>
        <w:t> : Les espèces dont les migrations s’étendent à des échelles spatiales plus réduites, mais avec des preuves de migrations cycliques et prévisibles à travers les frontières juridictionnelles</w:t>
      </w:r>
      <w:r w:rsidR="00B9206C">
        <w:rPr>
          <w:rFonts w:cs="Arial"/>
          <w:sz w:val="22"/>
          <w:szCs w:val="22"/>
          <w:lang w:val="fr-FR"/>
        </w:rPr>
        <w:t>.</w:t>
      </w:r>
    </w:p>
    <w:p w14:paraId="1479E10A" w14:textId="19CD5E24" w:rsidR="00BD3E40" w:rsidRDefault="00BD3E40" w:rsidP="00B9206C">
      <w:pPr>
        <w:numPr>
          <w:ilvl w:val="0"/>
          <w:numId w:val="32"/>
        </w:numPr>
        <w:jc w:val="both"/>
        <w:rPr>
          <w:rFonts w:cs="Arial"/>
          <w:sz w:val="22"/>
          <w:szCs w:val="22"/>
          <w:lang w:val="fr-FR"/>
        </w:rPr>
      </w:pPr>
      <w:r w:rsidRPr="00B9206C">
        <w:rPr>
          <w:rFonts w:cs="Arial"/>
          <w:sz w:val="22"/>
          <w:szCs w:val="22"/>
          <w:lang w:val="fr-FR"/>
        </w:rPr>
        <w:t xml:space="preserve">Migrateurs côtiers à plus petite échelle ou espèces non migratrices : Les espèces qui sont généralement inféodées à des sites ou qui ne se déplacent que sur de plus courtes distances (par exemple, migrations saisonnières entre les zones côtières et la haute mer ou migrations nord-sud). Ces espèces sont considérées comme ne répondant pas au critère de « espèces migratrices » telles que définies par la CMS dans les articles I (1), II (1) et IV (1). </w:t>
      </w:r>
    </w:p>
    <w:p w14:paraId="026BF3DF" w14:textId="02775336" w:rsidR="00396579" w:rsidRPr="00B9206C" w:rsidRDefault="00396579" w:rsidP="00396579">
      <w:pPr>
        <w:ind w:left="1080"/>
        <w:jc w:val="both"/>
        <w:rPr>
          <w:rFonts w:cs="Arial"/>
          <w:sz w:val="22"/>
          <w:szCs w:val="22"/>
          <w:lang w:val="fr-FR"/>
        </w:rPr>
      </w:pPr>
      <w:r>
        <w:rPr>
          <w:rFonts w:cs="Arial"/>
          <w:sz w:val="22"/>
          <w:szCs w:val="22"/>
          <w:lang w:val="fr-FR"/>
        </w:rPr>
        <w:br w:type="page"/>
      </w:r>
      <w:bookmarkStart w:id="0" w:name="_GoBack"/>
      <w:bookmarkEnd w:id="0"/>
    </w:p>
    <w:p w14:paraId="3FDBE753" w14:textId="77777777" w:rsidR="00396579" w:rsidRPr="00396579" w:rsidRDefault="00396579" w:rsidP="00396579">
      <w:pPr>
        <w:pStyle w:val="WW-Default"/>
        <w:jc w:val="both"/>
        <w:rPr>
          <w:rFonts w:ascii="Arial" w:hAnsi="Arial" w:cs="Arial"/>
          <w:b/>
          <w:sz w:val="22"/>
          <w:szCs w:val="22"/>
          <w:lang w:val="fr-FR"/>
        </w:rPr>
      </w:pPr>
      <w:r w:rsidRPr="00396579">
        <w:rPr>
          <w:rFonts w:ascii="Arial" w:hAnsi="Arial" w:cs="Arial"/>
          <w:b/>
          <w:sz w:val="22"/>
          <w:szCs w:val="22"/>
          <w:lang w:val="fr-FR"/>
        </w:rPr>
        <w:lastRenderedPageBreak/>
        <w:t>Autres considérations pour le Comité Consultatif, concernant les critères d'inscription</w:t>
      </w:r>
    </w:p>
    <w:p w14:paraId="22BB070A" w14:textId="77777777" w:rsidR="00BD3E40" w:rsidRPr="00B9206C" w:rsidRDefault="00BD3E40" w:rsidP="00B9206C">
      <w:pPr>
        <w:jc w:val="both"/>
        <w:rPr>
          <w:rFonts w:cs="Arial"/>
          <w:sz w:val="22"/>
          <w:szCs w:val="22"/>
          <w:lang w:val="fr-FR"/>
        </w:rPr>
      </w:pPr>
    </w:p>
    <w:p w14:paraId="2448FC1D" w14:textId="77777777" w:rsidR="00B9206C" w:rsidRDefault="00BD3E40" w:rsidP="00BD3E40">
      <w:pPr>
        <w:numPr>
          <w:ilvl w:val="0"/>
          <w:numId w:val="29"/>
        </w:numPr>
        <w:ind w:left="426" w:hanging="426"/>
        <w:jc w:val="both"/>
        <w:rPr>
          <w:rFonts w:cs="Arial"/>
          <w:sz w:val="22"/>
          <w:szCs w:val="22"/>
          <w:lang w:val="fr-FR"/>
        </w:rPr>
      </w:pPr>
      <w:r w:rsidRPr="00BD3E40">
        <w:rPr>
          <w:rFonts w:cs="Arial"/>
          <w:sz w:val="22"/>
          <w:szCs w:val="22"/>
          <w:lang w:val="fr-FR"/>
        </w:rPr>
        <w:t xml:space="preserve">Les critères biologiques généraux utilisés dans le cadre de la Convention CMS afin de déterminer si une espèce remplit les conditions requises pour être inscrite à ses annexes devraient être utilisés dans le cadre du </w:t>
      </w:r>
      <w:proofErr w:type="spellStart"/>
      <w:r w:rsidRPr="00BD3E40">
        <w:rPr>
          <w:rFonts w:cs="Arial"/>
          <w:sz w:val="22"/>
          <w:szCs w:val="22"/>
          <w:lang w:val="fr-FR"/>
        </w:rPr>
        <w:t>MdE</w:t>
      </w:r>
      <w:proofErr w:type="spellEnd"/>
      <w:r w:rsidRPr="00BD3E40">
        <w:rPr>
          <w:rFonts w:cs="Arial"/>
          <w:sz w:val="22"/>
          <w:szCs w:val="22"/>
          <w:lang w:val="fr-FR"/>
        </w:rPr>
        <w:t>. Cela permettra d'assurer une approche simple et d’assurer la cohérence avec la Convention mère.</w:t>
      </w:r>
    </w:p>
    <w:p w14:paraId="5D37E78D" w14:textId="77777777" w:rsidR="00B9206C" w:rsidRDefault="00B9206C" w:rsidP="00B9206C">
      <w:pPr>
        <w:ind w:left="426"/>
        <w:jc w:val="both"/>
        <w:rPr>
          <w:rFonts w:cs="Arial"/>
          <w:sz w:val="22"/>
          <w:szCs w:val="22"/>
          <w:lang w:val="fr-FR"/>
        </w:rPr>
      </w:pPr>
    </w:p>
    <w:p w14:paraId="016F04FB" w14:textId="1EFCA44D" w:rsidR="00BD3E40" w:rsidRPr="00B9206C" w:rsidRDefault="00BD3E40" w:rsidP="00BD3E40">
      <w:pPr>
        <w:numPr>
          <w:ilvl w:val="0"/>
          <w:numId w:val="29"/>
        </w:numPr>
        <w:ind w:left="426" w:hanging="426"/>
        <w:jc w:val="both"/>
        <w:rPr>
          <w:rFonts w:cs="Arial"/>
          <w:sz w:val="22"/>
          <w:szCs w:val="22"/>
          <w:lang w:val="fr-FR"/>
        </w:rPr>
      </w:pPr>
      <w:r w:rsidRPr="00B9206C">
        <w:rPr>
          <w:rFonts w:cs="Arial"/>
          <w:sz w:val="22"/>
          <w:szCs w:val="22"/>
          <w:lang w:val="fr-FR"/>
        </w:rPr>
        <w:t xml:space="preserve">Malgré les règles de la CMS, des espèces ou des groupes d’espèces peuvent être inscrits en tant qu’espèces « semblables » s’il est difficile de les différencier d’une espèce inscrite à l’Annexe 1 et si la confusion avec </w:t>
      </w:r>
      <w:proofErr w:type="gramStart"/>
      <w:r w:rsidRPr="00B9206C">
        <w:rPr>
          <w:rFonts w:cs="Arial"/>
          <w:sz w:val="22"/>
          <w:szCs w:val="22"/>
          <w:lang w:val="fr-FR"/>
        </w:rPr>
        <w:t>cette dernière</w:t>
      </w:r>
      <w:proofErr w:type="gramEnd"/>
      <w:r w:rsidRPr="00B9206C">
        <w:rPr>
          <w:rFonts w:cs="Arial"/>
          <w:sz w:val="22"/>
          <w:szCs w:val="22"/>
          <w:lang w:val="fr-FR"/>
        </w:rPr>
        <w:t xml:space="preserve"> est probable. Une espèce « semblable » ne doit pas nécessairement satisfaire elle-même à tous les critères d’inscription à l’Annexe 1.</w:t>
      </w:r>
    </w:p>
    <w:p w14:paraId="39D8E5D3" w14:textId="77777777" w:rsidR="00BD3E40" w:rsidRPr="00BD3E40" w:rsidRDefault="00BD3E40" w:rsidP="00BD3E40">
      <w:pPr>
        <w:rPr>
          <w:rFonts w:cs="Arial"/>
          <w:b/>
          <w:sz w:val="22"/>
          <w:szCs w:val="22"/>
          <w:lang w:val="fr-FR"/>
        </w:rPr>
      </w:pPr>
    </w:p>
    <w:p w14:paraId="7B125CD7" w14:textId="7D507BFE" w:rsidR="00BD3E40" w:rsidRPr="00396579" w:rsidRDefault="00BD3E40" w:rsidP="00BD3E40">
      <w:pPr>
        <w:rPr>
          <w:rFonts w:cs="Arial"/>
          <w:b/>
          <w:sz w:val="22"/>
          <w:szCs w:val="22"/>
          <w:lang w:val="fr-FR"/>
        </w:rPr>
      </w:pPr>
      <w:r w:rsidRPr="00BD3E40">
        <w:rPr>
          <w:rFonts w:cs="Arial"/>
          <w:b/>
          <w:sz w:val="22"/>
          <w:szCs w:val="22"/>
          <w:lang w:val="fr-FR"/>
        </w:rPr>
        <w:t>Modèle pour les propositions d’inscription</w:t>
      </w:r>
    </w:p>
    <w:p w14:paraId="0A809686" w14:textId="24ED170E" w:rsidR="00BD3E40" w:rsidRDefault="00BD3E40" w:rsidP="00B9206C">
      <w:pPr>
        <w:numPr>
          <w:ilvl w:val="0"/>
          <w:numId w:val="29"/>
        </w:numPr>
        <w:ind w:left="426" w:hanging="426"/>
        <w:rPr>
          <w:rFonts w:cs="Arial"/>
          <w:sz w:val="22"/>
          <w:szCs w:val="22"/>
          <w:lang w:val="fr-FR"/>
        </w:rPr>
      </w:pPr>
      <w:r w:rsidRPr="00BD3E40">
        <w:rPr>
          <w:rFonts w:cs="Arial"/>
          <w:sz w:val="22"/>
          <w:szCs w:val="22"/>
          <w:lang w:val="fr-FR"/>
        </w:rPr>
        <w:t>Un modèle pour les propositions d’inscription sur les listes est joint au présent document</w:t>
      </w:r>
      <w:r w:rsidRPr="00BD3E40">
        <w:rPr>
          <w:rFonts w:cs="Arial"/>
          <w:sz w:val="22"/>
          <w:szCs w:val="22"/>
          <w:vertAlign w:val="superscript"/>
          <w:lang w:val="en-GB"/>
        </w:rPr>
        <w:footnoteReference w:id="1"/>
      </w:r>
      <w:r w:rsidR="00DF5DFD">
        <w:rPr>
          <w:rFonts w:cs="Arial"/>
          <w:sz w:val="22"/>
          <w:szCs w:val="22"/>
          <w:lang w:val="fr-FR"/>
        </w:rPr>
        <w:t xml:space="preserve"> </w:t>
      </w:r>
    </w:p>
    <w:p w14:paraId="79AF234F" w14:textId="77777777" w:rsidR="00BD3E40" w:rsidRPr="007C7BC0" w:rsidRDefault="00BD3E40" w:rsidP="00DF5DFD">
      <w:pPr>
        <w:rPr>
          <w:rFonts w:cs="Arial"/>
          <w:sz w:val="22"/>
          <w:szCs w:val="22"/>
          <w:lang w:val="fr-FR"/>
        </w:rPr>
      </w:pPr>
    </w:p>
    <w:sectPr w:rsidR="00BD3E40" w:rsidRPr="007C7BC0" w:rsidSect="00BC5BAA">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2F0C" w14:textId="77777777" w:rsidR="000C3450" w:rsidRDefault="000C3450" w:rsidP="00F9613E">
      <w:r>
        <w:separator/>
      </w:r>
    </w:p>
  </w:endnote>
  <w:endnote w:type="continuationSeparator" w:id="0">
    <w:p w14:paraId="682CB889" w14:textId="77777777" w:rsidR="000C3450" w:rsidRDefault="000C3450"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89621"/>
      <w:docPartObj>
        <w:docPartGallery w:val="Page Numbers (Bottom of Page)"/>
        <w:docPartUnique/>
      </w:docPartObj>
    </w:sdtPr>
    <w:sdtEndPr>
      <w:rPr>
        <w:noProof/>
      </w:rPr>
    </w:sdtEndPr>
    <w:sdtContent>
      <w:p w14:paraId="32CBE575" w14:textId="0830C099" w:rsidR="001B76BA" w:rsidRDefault="000F673D" w:rsidP="000F673D">
        <w:pPr>
          <w:pStyle w:val="Footer"/>
          <w:jc w:val="center"/>
        </w:pPr>
        <w:r>
          <w:fldChar w:fldCharType="begin"/>
        </w:r>
        <w:r>
          <w:instrText xml:space="preserve"> PAGE   \* MERGEFORMAT </w:instrText>
        </w:r>
        <w:r>
          <w:fldChar w:fldCharType="separate"/>
        </w:r>
        <w:r w:rsidR="00A440F4">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329878"/>
      <w:docPartObj>
        <w:docPartGallery w:val="Page Numbers (Bottom of Page)"/>
        <w:docPartUnique/>
      </w:docPartObj>
    </w:sdtPr>
    <w:sdtEndPr>
      <w:rPr>
        <w:noProof/>
      </w:rPr>
    </w:sdtEndPr>
    <w:sdtContent>
      <w:p w14:paraId="29D9CCF5" w14:textId="686EC31F" w:rsidR="000F673D" w:rsidRDefault="000F673D" w:rsidP="000F673D">
        <w:pPr>
          <w:pStyle w:val="Footer"/>
          <w:jc w:val="center"/>
        </w:pPr>
        <w:r>
          <w:fldChar w:fldCharType="begin"/>
        </w:r>
        <w:r>
          <w:instrText xml:space="preserve"> PAGE   \* MERGEFORMAT </w:instrText>
        </w:r>
        <w:r>
          <w:fldChar w:fldCharType="separate"/>
        </w:r>
        <w:r w:rsidR="0039657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ED0B" w14:textId="77777777" w:rsidR="000C3450" w:rsidRDefault="000C3450" w:rsidP="00F9613E">
      <w:r>
        <w:separator/>
      </w:r>
    </w:p>
  </w:footnote>
  <w:footnote w:type="continuationSeparator" w:id="0">
    <w:p w14:paraId="60836B31" w14:textId="77777777" w:rsidR="000C3450" w:rsidRDefault="000C3450" w:rsidP="00F9613E">
      <w:r>
        <w:continuationSeparator/>
      </w:r>
    </w:p>
  </w:footnote>
  <w:footnote w:id="1">
    <w:p w14:paraId="5DA93C05" w14:textId="3E85D47B" w:rsidR="00BD3E40" w:rsidRPr="00B9206C" w:rsidRDefault="00BD3E40" w:rsidP="00BD3E40">
      <w:pPr>
        <w:pStyle w:val="FootnoteText"/>
        <w:rPr>
          <w:rFonts w:ascii="Arial" w:hAnsi="Arial" w:cs="Arial"/>
          <w:sz w:val="18"/>
          <w:szCs w:val="18"/>
          <w:lang w:val="fr-FR"/>
        </w:rPr>
      </w:pPr>
      <w:r w:rsidRPr="00B9206C">
        <w:rPr>
          <w:rStyle w:val="FootnoteReference"/>
          <w:rFonts w:ascii="Arial" w:hAnsi="Arial" w:cs="Arial"/>
          <w:sz w:val="18"/>
          <w:szCs w:val="18"/>
        </w:rPr>
        <w:footnoteRef/>
      </w:r>
      <w:r w:rsidRPr="00B9206C">
        <w:rPr>
          <w:rFonts w:ascii="Arial" w:eastAsia="Arial" w:hAnsi="Arial" w:cs="Arial"/>
          <w:sz w:val="18"/>
          <w:szCs w:val="18"/>
          <w:lang w:val="fr-FR"/>
        </w:rPr>
        <w:t xml:space="preserve"> Note du Secrétariat: Le nouveau format proposé figure </w:t>
      </w:r>
      <w:r w:rsidR="00DF5DFD">
        <w:rPr>
          <w:rFonts w:ascii="Arial" w:eastAsia="Arial" w:hAnsi="Arial" w:cs="Arial"/>
          <w:sz w:val="18"/>
          <w:szCs w:val="18"/>
          <w:lang w:val="fr-FR"/>
        </w:rPr>
        <w:t xml:space="preserve">dans le document </w:t>
      </w:r>
      <w:r w:rsidR="000F673D">
        <w:rPr>
          <w:rFonts w:ascii="Arial" w:eastAsia="Arial" w:hAnsi="Arial" w:cs="Arial"/>
          <w:sz w:val="18"/>
          <w:szCs w:val="18"/>
          <w:lang w:val="fr-FR"/>
        </w:rPr>
        <w:t>CMS/</w:t>
      </w:r>
      <w:proofErr w:type="spellStart"/>
      <w:r w:rsidR="000F673D">
        <w:rPr>
          <w:rFonts w:ascii="Arial" w:eastAsia="Arial" w:hAnsi="Arial" w:cs="Arial"/>
          <w:sz w:val="18"/>
          <w:szCs w:val="18"/>
          <w:lang w:val="fr-FR"/>
        </w:rPr>
        <w:t>S</w:t>
      </w:r>
      <w:r w:rsidR="00DF5DFD">
        <w:rPr>
          <w:rFonts w:ascii="Arial" w:eastAsia="Arial" w:hAnsi="Arial" w:cs="Arial"/>
          <w:sz w:val="18"/>
          <w:szCs w:val="18"/>
          <w:lang w:val="fr-FR"/>
        </w:rPr>
        <w:t>harks</w:t>
      </w:r>
      <w:proofErr w:type="spellEnd"/>
      <w:r w:rsidR="00DF5DFD">
        <w:rPr>
          <w:rFonts w:ascii="Arial" w:eastAsia="Arial" w:hAnsi="Arial" w:cs="Arial"/>
          <w:sz w:val="18"/>
          <w:szCs w:val="18"/>
          <w:lang w:val="fr-FR"/>
        </w:rPr>
        <w:t>/MOS3/CRP2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B6C81" w14:textId="4248C8E9" w:rsidR="001B76BA" w:rsidRPr="00396579" w:rsidRDefault="000F673D" w:rsidP="00396579">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CMS/Sharks/MOS3/CRP1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6ECDE" w14:textId="20EF12FB" w:rsidR="001B76BA" w:rsidRPr="000F673D" w:rsidRDefault="000F673D" w:rsidP="000F673D">
    <w:pPr>
      <w:pStyle w:val="Heading1"/>
      <w:keepNext w:val="0"/>
      <w:pBdr>
        <w:bottom w:val="single" w:sz="4" w:space="1" w:color="auto"/>
      </w:pBdr>
      <w:spacing w:before="0"/>
      <w:ind w:right="-540"/>
      <w:jc w:val="right"/>
      <w:rPr>
        <w:rFonts w:ascii="Arial" w:hAnsi="Arial" w:cs="Arial"/>
        <w:b/>
        <w:i/>
        <w:color w:val="auto"/>
        <w:sz w:val="18"/>
        <w:szCs w:val="18"/>
      </w:rPr>
    </w:pPr>
    <w:r>
      <w:rPr>
        <w:rFonts w:ascii="Arial" w:hAnsi="Arial" w:cs="Arial"/>
        <w:i/>
        <w:color w:val="auto"/>
        <w:sz w:val="18"/>
        <w:szCs w:val="18"/>
      </w:rPr>
      <w:t>CMS/Sharks/MOS3/CRP1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8518" w14:textId="77777777" w:rsidR="00645C72" w:rsidRDefault="00645C72" w:rsidP="00F9613E">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6C2"/>
    <w:multiLevelType w:val="hybridMultilevel"/>
    <w:tmpl w:val="CFB4AEE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61E88"/>
    <w:multiLevelType w:val="hybridMultilevel"/>
    <w:tmpl w:val="A2FE6770"/>
    <w:lvl w:ilvl="0" w:tplc="4AA62952">
      <w:start w:val="1"/>
      <w:numFmt w:val="lowerLetter"/>
      <w:lvlText w:val="%1)"/>
      <w:lvlJc w:val="left"/>
      <w:pPr>
        <w:ind w:left="1440" w:hanging="720"/>
      </w:pPr>
      <w:rPr>
        <w:rFonts w:hint="default"/>
      </w:rPr>
    </w:lvl>
    <w:lvl w:ilvl="1" w:tplc="95463008" w:tentative="1">
      <w:start w:val="1"/>
      <w:numFmt w:val="lowerLetter"/>
      <w:lvlText w:val="%2."/>
      <w:lvlJc w:val="left"/>
      <w:pPr>
        <w:ind w:left="1800" w:hanging="360"/>
      </w:pPr>
    </w:lvl>
    <w:lvl w:ilvl="2" w:tplc="0FE63F06" w:tentative="1">
      <w:start w:val="1"/>
      <w:numFmt w:val="lowerRoman"/>
      <w:lvlText w:val="%3."/>
      <w:lvlJc w:val="right"/>
      <w:pPr>
        <w:ind w:left="2520" w:hanging="180"/>
      </w:pPr>
    </w:lvl>
    <w:lvl w:ilvl="3" w:tplc="52A4B3CE" w:tentative="1">
      <w:start w:val="1"/>
      <w:numFmt w:val="decimal"/>
      <w:lvlText w:val="%4."/>
      <w:lvlJc w:val="left"/>
      <w:pPr>
        <w:ind w:left="3240" w:hanging="360"/>
      </w:pPr>
    </w:lvl>
    <w:lvl w:ilvl="4" w:tplc="7D602894" w:tentative="1">
      <w:start w:val="1"/>
      <w:numFmt w:val="lowerLetter"/>
      <w:lvlText w:val="%5."/>
      <w:lvlJc w:val="left"/>
      <w:pPr>
        <w:ind w:left="3960" w:hanging="360"/>
      </w:pPr>
    </w:lvl>
    <w:lvl w:ilvl="5" w:tplc="1C44B9A2" w:tentative="1">
      <w:start w:val="1"/>
      <w:numFmt w:val="lowerRoman"/>
      <w:lvlText w:val="%6."/>
      <w:lvlJc w:val="right"/>
      <w:pPr>
        <w:ind w:left="4680" w:hanging="180"/>
      </w:pPr>
    </w:lvl>
    <w:lvl w:ilvl="6" w:tplc="2110D5A4" w:tentative="1">
      <w:start w:val="1"/>
      <w:numFmt w:val="decimal"/>
      <w:lvlText w:val="%7."/>
      <w:lvlJc w:val="left"/>
      <w:pPr>
        <w:ind w:left="5400" w:hanging="360"/>
      </w:pPr>
    </w:lvl>
    <w:lvl w:ilvl="7" w:tplc="823CC2CA" w:tentative="1">
      <w:start w:val="1"/>
      <w:numFmt w:val="lowerLetter"/>
      <w:lvlText w:val="%8."/>
      <w:lvlJc w:val="left"/>
      <w:pPr>
        <w:ind w:left="6120" w:hanging="360"/>
      </w:pPr>
    </w:lvl>
    <w:lvl w:ilvl="8" w:tplc="53601342" w:tentative="1">
      <w:start w:val="1"/>
      <w:numFmt w:val="lowerRoman"/>
      <w:lvlText w:val="%9."/>
      <w:lvlJc w:val="right"/>
      <w:pPr>
        <w:ind w:left="6840" w:hanging="180"/>
      </w:pPr>
    </w:lvl>
  </w:abstractNum>
  <w:abstractNum w:abstractNumId="3" w15:restartNumberingAfterBreak="0">
    <w:nsid w:val="0AE34B76"/>
    <w:multiLevelType w:val="hybridMultilevel"/>
    <w:tmpl w:val="FCC0F006"/>
    <w:lvl w:ilvl="0" w:tplc="D4C654A8">
      <w:start w:val="1"/>
      <w:numFmt w:val="decimal"/>
      <w:lvlText w:val="%1."/>
      <w:lvlJc w:val="left"/>
      <w:pPr>
        <w:ind w:left="1080" w:hanging="720"/>
      </w:pPr>
      <w:rPr>
        <w:rFonts w:hint="default"/>
      </w:rPr>
    </w:lvl>
    <w:lvl w:ilvl="1" w:tplc="0C5C6976" w:tentative="1">
      <w:start w:val="1"/>
      <w:numFmt w:val="lowerLetter"/>
      <w:lvlText w:val="%2."/>
      <w:lvlJc w:val="left"/>
      <w:pPr>
        <w:ind w:left="1440" w:hanging="360"/>
      </w:pPr>
    </w:lvl>
    <w:lvl w:ilvl="2" w:tplc="5B066D8C" w:tentative="1">
      <w:start w:val="1"/>
      <w:numFmt w:val="lowerRoman"/>
      <w:lvlText w:val="%3."/>
      <w:lvlJc w:val="right"/>
      <w:pPr>
        <w:ind w:left="2160" w:hanging="180"/>
      </w:pPr>
    </w:lvl>
    <w:lvl w:ilvl="3" w:tplc="07022878" w:tentative="1">
      <w:start w:val="1"/>
      <w:numFmt w:val="decimal"/>
      <w:lvlText w:val="%4."/>
      <w:lvlJc w:val="left"/>
      <w:pPr>
        <w:ind w:left="2880" w:hanging="360"/>
      </w:pPr>
    </w:lvl>
    <w:lvl w:ilvl="4" w:tplc="F03E2310" w:tentative="1">
      <w:start w:val="1"/>
      <w:numFmt w:val="lowerLetter"/>
      <w:lvlText w:val="%5."/>
      <w:lvlJc w:val="left"/>
      <w:pPr>
        <w:ind w:left="3600" w:hanging="360"/>
      </w:pPr>
    </w:lvl>
    <w:lvl w:ilvl="5" w:tplc="7A5C9274" w:tentative="1">
      <w:start w:val="1"/>
      <w:numFmt w:val="lowerRoman"/>
      <w:lvlText w:val="%6."/>
      <w:lvlJc w:val="right"/>
      <w:pPr>
        <w:ind w:left="4320" w:hanging="180"/>
      </w:pPr>
    </w:lvl>
    <w:lvl w:ilvl="6" w:tplc="D068CB4A" w:tentative="1">
      <w:start w:val="1"/>
      <w:numFmt w:val="decimal"/>
      <w:lvlText w:val="%7."/>
      <w:lvlJc w:val="left"/>
      <w:pPr>
        <w:ind w:left="5040" w:hanging="360"/>
      </w:pPr>
    </w:lvl>
    <w:lvl w:ilvl="7" w:tplc="54E41724" w:tentative="1">
      <w:start w:val="1"/>
      <w:numFmt w:val="lowerLetter"/>
      <w:lvlText w:val="%8."/>
      <w:lvlJc w:val="left"/>
      <w:pPr>
        <w:ind w:left="5760" w:hanging="360"/>
      </w:pPr>
    </w:lvl>
    <w:lvl w:ilvl="8" w:tplc="4282FBCA" w:tentative="1">
      <w:start w:val="1"/>
      <w:numFmt w:val="lowerRoman"/>
      <w:lvlText w:val="%9."/>
      <w:lvlJc w:val="right"/>
      <w:pPr>
        <w:ind w:left="6480" w:hanging="180"/>
      </w:pPr>
    </w:lvl>
  </w:abstractNum>
  <w:abstractNum w:abstractNumId="4" w15:restartNumberingAfterBreak="0">
    <w:nsid w:val="12306AF1"/>
    <w:multiLevelType w:val="hybridMultilevel"/>
    <w:tmpl w:val="3FB8C56A"/>
    <w:lvl w:ilvl="0" w:tplc="F2148B02">
      <w:start w:val="1"/>
      <w:numFmt w:val="decimal"/>
      <w:lvlText w:val="%1."/>
      <w:lvlJc w:val="left"/>
      <w:pPr>
        <w:ind w:left="540" w:hanging="396"/>
      </w:pPr>
      <w:rPr>
        <w:rFonts w:hint="default"/>
        <w:b w:val="0"/>
      </w:rPr>
    </w:lvl>
    <w:lvl w:ilvl="1" w:tplc="22289B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E14325"/>
    <w:multiLevelType w:val="hybridMultilevel"/>
    <w:tmpl w:val="CD48F0EC"/>
    <w:lvl w:ilvl="0" w:tplc="8F008ED6">
      <w:start w:val="1"/>
      <w:numFmt w:val="bullet"/>
      <w:lvlText w:val="-"/>
      <w:lvlJc w:val="left"/>
      <w:pPr>
        <w:ind w:left="720" w:hanging="360"/>
      </w:pPr>
      <w:rPr>
        <w:rFonts w:ascii="Times New Roman" w:eastAsia="Times New Roman" w:hAnsi="Times New Roman" w:cs="Times New Roman" w:hint="default"/>
      </w:rPr>
    </w:lvl>
    <w:lvl w:ilvl="1" w:tplc="4D6200AA" w:tentative="1">
      <w:start w:val="1"/>
      <w:numFmt w:val="bullet"/>
      <w:lvlText w:val="o"/>
      <w:lvlJc w:val="left"/>
      <w:pPr>
        <w:ind w:left="1440" w:hanging="360"/>
      </w:pPr>
      <w:rPr>
        <w:rFonts w:ascii="Courier New" w:hAnsi="Courier New" w:cs="Courier New" w:hint="default"/>
      </w:rPr>
    </w:lvl>
    <w:lvl w:ilvl="2" w:tplc="E4B0DEDA" w:tentative="1">
      <w:start w:val="1"/>
      <w:numFmt w:val="bullet"/>
      <w:lvlText w:val=""/>
      <w:lvlJc w:val="left"/>
      <w:pPr>
        <w:ind w:left="2160" w:hanging="360"/>
      </w:pPr>
      <w:rPr>
        <w:rFonts w:ascii="Wingdings" w:hAnsi="Wingdings" w:hint="default"/>
      </w:rPr>
    </w:lvl>
    <w:lvl w:ilvl="3" w:tplc="F4F8939E" w:tentative="1">
      <w:start w:val="1"/>
      <w:numFmt w:val="bullet"/>
      <w:lvlText w:val=""/>
      <w:lvlJc w:val="left"/>
      <w:pPr>
        <w:ind w:left="2880" w:hanging="360"/>
      </w:pPr>
      <w:rPr>
        <w:rFonts w:ascii="Symbol" w:hAnsi="Symbol" w:hint="default"/>
      </w:rPr>
    </w:lvl>
    <w:lvl w:ilvl="4" w:tplc="B32C4348" w:tentative="1">
      <w:start w:val="1"/>
      <w:numFmt w:val="bullet"/>
      <w:lvlText w:val="o"/>
      <w:lvlJc w:val="left"/>
      <w:pPr>
        <w:ind w:left="3600" w:hanging="360"/>
      </w:pPr>
      <w:rPr>
        <w:rFonts w:ascii="Courier New" w:hAnsi="Courier New" w:cs="Courier New" w:hint="default"/>
      </w:rPr>
    </w:lvl>
    <w:lvl w:ilvl="5" w:tplc="90B04862" w:tentative="1">
      <w:start w:val="1"/>
      <w:numFmt w:val="bullet"/>
      <w:lvlText w:val=""/>
      <w:lvlJc w:val="left"/>
      <w:pPr>
        <w:ind w:left="4320" w:hanging="360"/>
      </w:pPr>
      <w:rPr>
        <w:rFonts w:ascii="Wingdings" w:hAnsi="Wingdings" w:hint="default"/>
      </w:rPr>
    </w:lvl>
    <w:lvl w:ilvl="6" w:tplc="4F980A94" w:tentative="1">
      <w:start w:val="1"/>
      <w:numFmt w:val="bullet"/>
      <w:lvlText w:val=""/>
      <w:lvlJc w:val="left"/>
      <w:pPr>
        <w:ind w:left="5040" w:hanging="360"/>
      </w:pPr>
      <w:rPr>
        <w:rFonts w:ascii="Symbol" w:hAnsi="Symbol" w:hint="default"/>
      </w:rPr>
    </w:lvl>
    <w:lvl w:ilvl="7" w:tplc="2F22A564" w:tentative="1">
      <w:start w:val="1"/>
      <w:numFmt w:val="bullet"/>
      <w:lvlText w:val="o"/>
      <w:lvlJc w:val="left"/>
      <w:pPr>
        <w:ind w:left="5760" w:hanging="360"/>
      </w:pPr>
      <w:rPr>
        <w:rFonts w:ascii="Courier New" w:hAnsi="Courier New" w:cs="Courier New" w:hint="default"/>
      </w:rPr>
    </w:lvl>
    <w:lvl w:ilvl="8" w:tplc="79E82BC6" w:tentative="1">
      <w:start w:val="1"/>
      <w:numFmt w:val="bullet"/>
      <w:lvlText w:val=""/>
      <w:lvlJc w:val="left"/>
      <w:pPr>
        <w:ind w:left="6480" w:hanging="360"/>
      </w:pPr>
      <w:rPr>
        <w:rFonts w:ascii="Wingdings" w:hAnsi="Wingdings" w:hint="default"/>
      </w:rPr>
    </w:lvl>
  </w:abstractNum>
  <w:abstractNum w:abstractNumId="7" w15:restartNumberingAfterBreak="0">
    <w:nsid w:val="21376F5A"/>
    <w:multiLevelType w:val="hybridMultilevel"/>
    <w:tmpl w:val="F5905584"/>
    <w:lvl w:ilvl="0" w:tplc="2E1A2AFA">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9B09324">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EB149A"/>
    <w:multiLevelType w:val="hybridMultilevel"/>
    <w:tmpl w:val="05FCD09E"/>
    <w:lvl w:ilvl="0" w:tplc="672EACF6">
      <w:start w:val="1"/>
      <w:numFmt w:val="bullet"/>
      <w:lvlText w:val="-"/>
      <w:lvlJc w:val="left"/>
      <w:pPr>
        <w:ind w:left="720" w:hanging="360"/>
      </w:pPr>
      <w:rPr>
        <w:rFonts w:ascii="Times New Roman" w:eastAsia="Times New Roman" w:hAnsi="Times New Roman" w:cs="Times New Roman" w:hint="default"/>
      </w:rPr>
    </w:lvl>
    <w:lvl w:ilvl="1" w:tplc="C5004936">
      <w:start w:val="1"/>
      <w:numFmt w:val="bullet"/>
      <w:lvlText w:val="o"/>
      <w:lvlJc w:val="left"/>
      <w:pPr>
        <w:ind w:left="1440" w:hanging="360"/>
      </w:pPr>
      <w:rPr>
        <w:rFonts w:ascii="Courier New" w:hAnsi="Courier New" w:cs="Courier New" w:hint="default"/>
      </w:rPr>
    </w:lvl>
    <w:lvl w:ilvl="2" w:tplc="22941184" w:tentative="1">
      <w:start w:val="1"/>
      <w:numFmt w:val="bullet"/>
      <w:lvlText w:val=""/>
      <w:lvlJc w:val="left"/>
      <w:pPr>
        <w:ind w:left="2160" w:hanging="360"/>
      </w:pPr>
      <w:rPr>
        <w:rFonts w:ascii="Wingdings" w:hAnsi="Wingdings" w:hint="default"/>
      </w:rPr>
    </w:lvl>
    <w:lvl w:ilvl="3" w:tplc="3CDAE558" w:tentative="1">
      <w:start w:val="1"/>
      <w:numFmt w:val="bullet"/>
      <w:lvlText w:val=""/>
      <w:lvlJc w:val="left"/>
      <w:pPr>
        <w:ind w:left="2880" w:hanging="360"/>
      </w:pPr>
      <w:rPr>
        <w:rFonts w:ascii="Symbol" w:hAnsi="Symbol" w:hint="default"/>
      </w:rPr>
    </w:lvl>
    <w:lvl w:ilvl="4" w:tplc="DCDA2D64" w:tentative="1">
      <w:start w:val="1"/>
      <w:numFmt w:val="bullet"/>
      <w:lvlText w:val="o"/>
      <w:lvlJc w:val="left"/>
      <w:pPr>
        <w:ind w:left="3600" w:hanging="360"/>
      </w:pPr>
      <w:rPr>
        <w:rFonts w:ascii="Courier New" w:hAnsi="Courier New" w:cs="Courier New" w:hint="default"/>
      </w:rPr>
    </w:lvl>
    <w:lvl w:ilvl="5" w:tplc="D71023CC" w:tentative="1">
      <w:start w:val="1"/>
      <w:numFmt w:val="bullet"/>
      <w:lvlText w:val=""/>
      <w:lvlJc w:val="left"/>
      <w:pPr>
        <w:ind w:left="4320" w:hanging="360"/>
      </w:pPr>
      <w:rPr>
        <w:rFonts w:ascii="Wingdings" w:hAnsi="Wingdings" w:hint="default"/>
      </w:rPr>
    </w:lvl>
    <w:lvl w:ilvl="6" w:tplc="A99E88B8" w:tentative="1">
      <w:start w:val="1"/>
      <w:numFmt w:val="bullet"/>
      <w:lvlText w:val=""/>
      <w:lvlJc w:val="left"/>
      <w:pPr>
        <w:ind w:left="5040" w:hanging="360"/>
      </w:pPr>
      <w:rPr>
        <w:rFonts w:ascii="Symbol" w:hAnsi="Symbol" w:hint="default"/>
      </w:rPr>
    </w:lvl>
    <w:lvl w:ilvl="7" w:tplc="7B04E930" w:tentative="1">
      <w:start w:val="1"/>
      <w:numFmt w:val="bullet"/>
      <w:lvlText w:val="o"/>
      <w:lvlJc w:val="left"/>
      <w:pPr>
        <w:ind w:left="5760" w:hanging="360"/>
      </w:pPr>
      <w:rPr>
        <w:rFonts w:ascii="Courier New" w:hAnsi="Courier New" w:cs="Courier New" w:hint="default"/>
      </w:rPr>
    </w:lvl>
    <w:lvl w:ilvl="8" w:tplc="70749EF0" w:tentative="1">
      <w:start w:val="1"/>
      <w:numFmt w:val="bullet"/>
      <w:lvlText w:val=""/>
      <w:lvlJc w:val="left"/>
      <w:pPr>
        <w:ind w:left="6480" w:hanging="360"/>
      </w:pPr>
      <w:rPr>
        <w:rFonts w:ascii="Wingdings" w:hAnsi="Wingdings" w:hint="default"/>
      </w:rPr>
    </w:lvl>
  </w:abstractNum>
  <w:abstractNum w:abstractNumId="9" w15:restartNumberingAfterBreak="0">
    <w:nsid w:val="23ED66EE"/>
    <w:multiLevelType w:val="hybridMultilevel"/>
    <w:tmpl w:val="BC6623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81A97"/>
    <w:multiLevelType w:val="hybridMultilevel"/>
    <w:tmpl w:val="7F882A8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E4670"/>
    <w:multiLevelType w:val="hybridMultilevel"/>
    <w:tmpl w:val="E18EA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70AE2"/>
    <w:multiLevelType w:val="hybridMultilevel"/>
    <w:tmpl w:val="FCB2B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B39AD"/>
    <w:multiLevelType w:val="hybridMultilevel"/>
    <w:tmpl w:val="D9785A7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8679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942F8E"/>
    <w:multiLevelType w:val="hybridMultilevel"/>
    <w:tmpl w:val="B10EF320"/>
    <w:lvl w:ilvl="0" w:tplc="3D241824">
      <w:start w:val="1"/>
      <w:numFmt w:val="decimal"/>
      <w:lvlText w:val="(%1)"/>
      <w:lvlJc w:val="left"/>
      <w:pPr>
        <w:ind w:left="720" w:hanging="360"/>
      </w:pPr>
    </w:lvl>
    <w:lvl w:ilvl="1" w:tplc="11D0D33C">
      <w:start w:val="1"/>
      <w:numFmt w:val="decimal"/>
      <w:lvlText w:val="(%2)"/>
      <w:lvlJc w:val="left"/>
      <w:pPr>
        <w:ind w:left="1440" w:hanging="360"/>
      </w:pPr>
    </w:lvl>
    <w:lvl w:ilvl="2" w:tplc="C0AE7F5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FAB37C2"/>
    <w:multiLevelType w:val="multilevel"/>
    <w:tmpl w:val="D554A4D6"/>
    <w:lvl w:ilvl="0">
      <w:start w:val="3"/>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AF1ACC"/>
    <w:multiLevelType w:val="hybridMultilevel"/>
    <w:tmpl w:val="D5E0A192"/>
    <w:lvl w:ilvl="0" w:tplc="3D241824">
      <w:start w:val="1"/>
      <w:numFmt w:val="decimal"/>
      <w:lvlText w:val="(%1)"/>
      <w:lvlJc w:val="left"/>
      <w:pPr>
        <w:ind w:left="1995" w:hanging="360"/>
      </w:pPr>
    </w:lvl>
    <w:lvl w:ilvl="1" w:tplc="11D0D33C">
      <w:start w:val="1"/>
      <w:numFmt w:val="decimal"/>
      <w:lvlText w:val="(%2)"/>
      <w:lvlJc w:val="left"/>
      <w:pPr>
        <w:ind w:left="2715" w:hanging="360"/>
      </w:pPr>
    </w:lvl>
    <w:lvl w:ilvl="2" w:tplc="0809001B">
      <w:start w:val="1"/>
      <w:numFmt w:val="lowerRoman"/>
      <w:lvlText w:val="%3."/>
      <w:lvlJc w:val="right"/>
      <w:pPr>
        <w:ind w:left="3435" w:hanging="180"/>
      </w:pPr>
    </w:lvl>
    <w:lvl w:ilvl="3" w:tplc="0809000F">
      <w:start w:val="1"/>
      <w:numFmt w:val="decimal"/>
      <w:lvlText w:val="%4."/>
      <w:lvlJc w:val="left"/>
      <w:pPr>
        <w:ind w:left="4155" w:hanging="360"/>
      </w:pPr>
    </w:lvl>
    <w:lvl w:ilvl="4" w:tplc="08090019">
      <w:start w:val="1"/>
      <w:numFmt w:val="lowerLetter"/>
      <w:lvlText w:val="%5."/>
      <w:lvlJc w:val="left"/>
      <w:pPr>
        <w:ind w:left="4875" w:hanging="360"/>
      </w:pPr>
    </w:lvl>
    <w:lvl w:ilvl="5" w:tplc="0809001B">
      <w:start w:val="1"/>
      <w:numFmt w:val="lowerRoman"/>
      <w:lvlText w:val="%6."/>
      <w:lvlJc w:val="right"/>
      <w:pPr>
        <w:ind w:left="5595" w:hanging="180"/>
      </w:pPr>
    </w:lvl>
    <w:lvl w:ilvl="6" w:tplc="0809000F">
      <w:start w:val="1"/>
      <w:numFmt w:val="decimal"/>
      <w:lvlText w:val="%7."/>
      <w:lvlJc w:val="left"/>
      <w:pPr>
        <w:ind w:left="6315" w:hanging="360"/>
      </w:pPr>
    </w:lvl>
    <w:lvl w:ilvl="7" w:tplc="08090019">
      <w:start w:val="1"/>
      <w:numFmt w:val="lowerLetter"/>
      <w:lvlText w:val="%8."/>
      <w:lvlJc w:val="left"/>
      <w:pPr>
        <w:ind w:left="7035" w:hanging="360"/>
      </w:pPr>
    </w:lvl>
    <w:lvl w:ilvl="8" w:tplc="0809001B">
      <w:start w:val="1"/>
      <w:numFmt w:val="lowerRoman"/>
      <w:lvlText w:val="%9."/>
      <w:lvlJc w:val="right"/>
      <w:pPr>
        <w:ind w:left="7755" w:hanging="180"/>
      </w:pPr>
    </w:lvl>
  </w:abstractNum>
  <w:abstractNum w:abstractNumId="18" w15:restartNumberingAfterBreak="0">
    <w:nsid w:val="48E24043"/>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D58707C"/>
    <w:multiLevelType w:val="hybridMultilevel"/>
    <w:tmpl w:val="45482ECA"/>
    <w:lvl w:ilvl="0" w:tplc="76F29476">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FC752D1"/>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04F3018"/>
    <w:multiLevelType w:val="hybridMultilevel"/>
    <w:tmpl w:val="4CA82BE6"/>
    <w:lvl w:ilvl="0" w:tplc="88162936">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6D270C"/>
    <w:multiLevelType w:val="hybridMultilevel"/>
    <w:tmpl w:val="651C8356"/>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96EA6"/>
    <w:multiLevelType w:val="hybridMultilevel"/>
    <w:tmpl w:val="8D9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7230D"/>
    <w:multiLevelType w:val="hybridMultilevel"/>
    <w:tmpl w:val="D0200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FAD399C"/>
    <w:multiLevelType w:val="hybridMultilevel"/>
    <w:tmpl w:val="E1B21CF0"/>
    <w:lvl w:ilvl="0" w:tplc="FEA6CC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3F50389"/>
    <w:multiLevelType w:val="hybridMultilevel"/>
    <w:tmpl w:val="A1A4BDBC"/>
    <w:lvl w:ilvl="0" w:tplc="87540C9C">
      <w:start w:val="1"/>
      <w:numFmt w:val="lowerLetter"/>
      <w:lvlText w:val="%1)"/>
      <w:lvlJc w:val="left"/>
      <w:pPr>
        <w:ind w:left="1080" w:hanging="360"/>
      </w:pPr>
      <w:rPr>
        <w:rFonts w:hint="default"/>
      </w:rPr>
    </w:lvl>
    <w:lvl w:ilvl="1" w:tplc="16CE1C9C" w:tentative="1">
      <w:start w:val="1"/>
      <w:numFmt w:val="lowerLetter"/>
      <w:lvlText w:val="%2."/>
      <w:lvlJc w:val="left"/>
      <w:pPr>
        <w:ind w:left="1800" w:hanging="360"/>
      </w:pPr>
    </w:lvl>
    <w:lvl w:ilvl="2" w:tplc="E794C224" w:tentative="1">
      <w:start w:val="1"/>
      <w:numFmt w:val="lowerRoman"/>
      <w:lvlText w:val="%3."/>
      <w:lvlJc w:val="right"/>
      <w:pPr>
        <w:ind w:left="2520" w:hanging="180"/>
      </w:pPr>
    </w:lvl>
    <w:lvl w:ilvl="3" w:tplc="606A4DBE" w:tentative="1">
      <w:start w:val="1"/>
      <w:numFmt w:val="decimal"/>
      <w:lvlText w:val="%4."/>
      <w:lvlJc w:val="left"/>
      <w:pPr>
        <w:ind w:left="3240" w:hanging="360"/>
      </w:pPr>
    </w:lvl>
    <w:lvl w:ilvl="4" w:tplc="FD7C45A6" w:tentative="1">
      <w:start w:val="1"/>
      <w:numFmt w:val="lowerLetter"/>
      <w:lvlText w:val="%5."/>
      <w:lvlJc w:val="left"/>
      <w:pPr>
        <w:ind w:left="3960" w:hanging="360"/>
      </w:pPr>
    </w:lvl>
    <w:lvl w:ilvl="5" w:tplc="5694DAA0" w:tentative="1">
      <w:start w:val="1"/>
      <w:numFmt w:val="lowerRoman"/>
      <w:lvlText w:val="%6."/>
      <w:lvlJc w:val="right"/>
      <w:pPr>
        <w:ind w:left="4680" w:hanging="180"/>
      </w:pPr>
    </w:lvl>
    <w:lvl w:ilvl="6" w:tplc="B0F41F24" w:tentative="1">
      <w:start w:val="1"/>
      <w:numFmt w:val="decimal"/>
      <w:lvlText w:val="%7."/>
      <w:lvlJc w:val="left"/>
      <w:pPr>
        <w:ind w:left="5400" w:hanging="360"/>
      </w:pPr>
    </w:lvl>
    <w:lvl w:ilvl="7" w:tplc="FD9C13DC" w:tentative="1">
      <w:start w:val="1"/>
      <w:numFmt w:val="lowerLetter"/>
      <w:lvlText w:val="%8."/>
      <w:lvlJc w:val="left"/>
      <w:pPr>
        <w:ind w:left="6120" w:hanging="360"/>
      </w:pPr>
    </w:lvl>
    <w:lvl w:ilvl="8" w:tplc="4CD4B33C" w:tentative="1">
      <w:start w:val="1"/>
      <w:numFmt w:val="lowerRoman"/>
      <w:lvlText w:val="%9."/>
      <w:lvlJc w:val="right"/>
      <w:pPr>
        <w:ind w:left="6840" w:hanging="180"/>
      </w:pPr>
    </w:lvl>
  </w:abstractNum>
  <w:abstractNum w:abstractNumId="27" w15:restartNumberingAfterBreak="0">
    <w:nsid w:val="64FB3269"/>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246F7C"/>
    <w:multiLevelType w:val="hybridMultilevel"/>
    <w:tmpl w:val="07D6215C"/>
    <w:lvl w:ilvl="0" w:tplc="A3DA6A86">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24AB3"/>
    <w:multiLevelType w:val="hybridMultilevel"/>
    <w:tmpl w:val="9C2C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247771"/>
    <w:multiLevelType w:val="hybridMultilevel"/>
    <w:tmpl w:val="C1348E5A"/>
    <w:lvl w:ilvl="0" w:tplc="8A14CACA">
      <w:start w:val="1"/>
      <w:numFmt w:val="lowerLetter"/>
      <w:lvlText w:val="%1)"/>
      <w:lvlJc w:val="left"/>
      <w:pPr>
        <w:ind w:left="1004" w:hanging="360"/>
      </w:pPr>
      <w:rPr>
        <w:rFonts w:ascii="Times New Roman" w:eastAsia="Times New Roman" w:hAnsi="Times New Roman" w:cs="Times New Roman"/>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1" w15:restartNumberingAfterBreak="0">
    <w:nsid w:val="6D2D3403"/>
    <w:multiLevelType w:val="hybridMultilevel"/>
    <w:tmpl w:val="4290E864"/>
    <w:lvl w:ilvl="0" w:tplc="3612E37E">
      <w:start w:val="1"/>
      <w:numFmt w:val="lowerLetter"/>
      <w:lvlText w:val="(%1)"/>
      <w:lvlJc w:val="left"/>
      <w:pPr>
        <w:ind w:left="720" w:hanging="360"/>
      </w:pPr>
    </w:lvl>
    <w:lvl w:ilvl="1" w:tplc="DF9C16B0">
      <w:start w:val="1"/>
      <w:numFmt w:val="lowerLetter"/>
      <w:lvlText w:val="%2)"/>
      <w:lvlJc w:val="left"/>
      <w:pPr>
        <w:ind w:left="1440" w:hanging="360"/>
      </w:pPr>
    </w:lvl>
    <w:lvl w:ilvl="2" w:tplc="0809001B">
      <w:start w:val="1"/>
      <w:numFmt w:val="lowerRoman"/>
      <w:lvlText w:val="%3."/>
      <w:lvlJc w:val="right"/>
      <w:pPr>
        <w:ind w:left="2160" w:hanging="180"/>
      </w:pPr>
    </w:lvl>
    <w:lvl w:ilvl="3" w:tplc="F9086916">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7224DD"/>
    <w:multiLevelType w:val="hybridMultilevel"/>
    <w:tmpl w:val="F6A2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B7284"/>
    <w:multiLevelType w:val="hybridMultilevel"/>
    <w:tmpl w:val="A588D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E2A0C"/>
    <w:multiLevelType w:val="hybridMultilevel"/>
    <w:tmpl w:val="7F5C842A"/>
    <w:lvl w:ilvl="0" w:tplc="16C86962">
      <w:start w:val="1"/>
      <w:numFmt w:val="lowerLetter"/>
      <w:lvlText w:val="%1)"/>
      <w:lvlJc w:val="left"/>
      <w:pPr>
        <w:ind w:left="1080" w:hanging="360"/>
      </w:pPr>
      <w:rPr>
        <w:rFonts w:cs="Times New Roman" w:hint="default"/>
      </w:rPr>
    </w:lvl>
    <w:lvl w:ilvl="1" w:tplc="6FF4656C" w:tentative="1">
      <w:start w:val="1"/>
      <w:numFmt w:val="bullet"/>
      <w:lvlText w:val="o"/>
      <w:lvlJc w:val="left"/>
      <w:pPr>
        <w:ind w:left="1800" w:hanging="360"/>
      </w:pPr>
      <w:rPr>
        <w:rFonts w:ascii="Courier New" w:hAnsi="Courier New" w:hint="default"/>
      </w:rPr>
    </w:lvl>
    <w:lvl w:ilvl="2" w:tplc="3D8A64A2" w:tentative="1">
      <w:start w:val="1"/>
      <w:numFmt w:val="bullet"/>
      <w:lvlText w:val=""/>
      <w:lvlJc w:val="left"/>
      <w:pPr>
        <w:ind w:left="2520" w:hanging="360"/>
      </w:pPr>
      <w:rPr>
        <w:rFonts w:ascii="Wingdings" w:hAnsi="Wingdings" w:hint="default"/>
      </w:rPr>
    </w:lvl>
    <w:lvl w:ilvl="3" w:tplc="1256BAEC" w:tentative="1">
      <w:start w:val="1"/>
      <w:numFmt w:val="bullet"/>
      <w:lvlText w:val=""/>
      <w:lvlJc w:val="left"/>
      <w:pPr>
        <w:ind w:left="3240" w:hanging="360"/>
      </w:pPr>
      <w:rPr>
        <w:rFonts w:ascii="Symbol" w:hAnsi="Symbol" w:hint="default"/>
      </w:rPr>
    </w:lvl>
    <w:lvl w:ilvl="4" w:tplc="8402C890" w:tentative="1">
      <w:start w:val="1"/>
      <w:numFmt w:val="bullet"/>
      <w:lvlText w:val="o"/>
      <w:lvlJc w:val="left"/>
      <w:pPr>
        <w:ind w:left="3960" w:hanging="360"/>
      </w:pPr>
      <w:rPr>
        <w:rFonts w:ascii="Courier New" w:hAnsi="Courier New" w:hint="default"/>
      </w:rPr>
    </w:lvl>
    <w:lvl w:ilvl="5" w:tplc="DC041B64" w:tentative="1">
      <w:start w:val="1"/>
      <w:numFmt w:val="bullet"/>
      <w:lvlText w:val=""/>
      <w:lvlJc w:val="left"/>
      <w:pPr>
        <w:ind w:left="4680" w:hanging="360"/>
      </w:pPr>
      <w:rPr>
        <w:rFonts w:ascii="Wingdings" w:hAnsi="Wingdings" w:hint="default"/>
      </w:rPr>
    </w:lvl>
    <w:lvl w:ilvl="6" w:tplc="35766206" w:tentative="1">
      <w:start w:val="1"/>
      <w:numFmt w:val="bullet"/>
      <w:lvlText w:val=""/>
      <w:lvlJc w:val="left"/>
      <w:pPr>
        <w:ind w:left="5400" w:hanging="360"/>
      </w:pPr>
      <w:rPr>
        <w:rFonts w:ascii="Symbol" w:hAnsi="Symbol" w:hint="default"/>
      </w:rPr>
    </w:lvl>
    <w:lvl w:ilvl="7" w:tplc="D3AAAB4E" w:tentative="1">
      <w:start w:val="1"/>
      <w:numFmt w:val="bullet"/>
      <w:lvlText w:val="o"/>
      <w:lvlJc w:val="left"/>
      <w:pPr>
        <w:ind w:left="6120" w:hanging="360"/>
      </w:pPr>
      <w:rPr>
        <w:rFonts w:ascii="Courier New" w:hAnsi="Courier New" w:hint="default"/>
      </w:rPr>
    </w:lvl>
    <w:lvl w:ilvl="8" w:tplc="64EE726A" w:tentative="1">
      <w:start w:val="1"/>
      <w:numFmt w:val="bullet"/>
      <w:lvlText w:val=""/>
      <w:lvlJc w:val="left"/>
      <w:pPr>
        <w:ind w:left="6840" w:hanging="360"/>
      </w:pPr>
      <w:rPr>
        <w:rFonts w:ascii="Wingdings" w:hAnsi="Wingdings" w:hint="default"/>
      </w:rPr>
    </w:lvl>
  </w:abstractNum>
  <w:abstractNum w:abstractNumId="35" w15:restartNumberingAfterBreak="0">
    <w:nsid w:val="76E754E0"/>
    <w:multiLevelType w:val="hybridMultilevel"/>
    <w:tmpl w:val="E0E0AF60"/>
    <w:lvl w:ilvl="0" w:tplc="11D0D3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EEA1D66">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F095700"/>
    <w:multiLevelType w:val="hybridMultilevel"/>
    <w:tmpl w:val="CDE69E12"/>
    <w:lvl w:ilvl="0" w:tplc="C736F3C8">
      <w:start w:val="1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2"/>
  </w:num>
  <w:num w:numId="19">
    <w:abstractNumId w:val="4"/>
  </w:num>
  <w:num w:numId="20">
    <w:abstractNumId w:val="36"/>
  </w:num>
  <w:num w:numId="21">
    <w:abstractNumId w:val="23"/>
  </w:num>
  <w:num w:numId="22">
    <w:abstractNumId w:val="9"/>
  </w:num>
  <w:num w:numId="23">
    <w:abstractNumId w:val="29"/>
  </w:num>
  <w:num w:numId="24">
    <w:abstractNumId w:val="32"/>
  </w:num>
  <w:num w:numId="25">
    <w:abstractNumId w:val="13"/>
  </w:num>
  <w:num w:numId="26">
    <w:abstractNumId w:val="28"/>
  </w:num>
  <w:num w:numId="27">
    <w:abstractNumId w:val="10"/>
  </w:num>
  <w:num w:numId="28">
    <w:abstractNumId w:val="22"/>
  </w:num>
  <w:num w:numId="29">
    <w:abstractNumId w:val="3"/>
  </w:num>
  <w:num w:numId="30">
    <w:abstractNumId w:val="2"/>
  </w:num>
  <w:num w:numId="31">
    <w:abstractNumId w:val="34"/>
  </w:num>
  <w:num w:numId="32">
    <w:abstractNumId w:val="26"/>
  </w:num>
  <w:num w:numId="33">
    <w:abstractNumId w:val="11"/>
  </w:num>
  <w:num w:numId="34">
    <w:abstractNumId w:val="6"/>
  </w:num>
  <w:num w:numId="35">
    <w:abstractNumId w:val="8"/>
  </w:num>
  <w:num w:numId="36">
    <w:abstractNumId w:val="1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3E"/>
    <w:rsid w:val="00002B23"/>
    <w:rsid w:val="000135F5"/>
    <w:rsid w:val="0001612B"/>
    <w:rsid w:val="00016F15"/>
    <w:rsid w:val="00016F2E"/>
    <w:rsid w:val="000172FF"/>
    <w:rsid w:val="00021A8A"/>
    <w:rsid w:val="00024234"/>
    <w:rsid w:val="00030B3C"/>
    <w:rsid w:val="00031E66"/>
    <w:rsid w:val="0004093F"/>
    <w:rsid w:val="00041CB9"/>
    <w:rsid w:val="00042BAE"/>
    <w:rsid w:val="00043ECC"/>
    <w:rsid w:val="00060708"/>
    <w:rsid w:val="00062482"/>
    <w:rsid w:val="00067523"/>
    <w:rsid w:val="00075172"/>
    <w:rsid w:val="00082093"/>
    <w:rsid w:val="000842EB"/>
    <w:rsid w:val="00086B47"/>
    <w:rsid w:val="00087CB5"/>
    <w:rsid w:val="00091078"/>
    <w:rsid w:val="00091B67"/>
    <w:rsid w:val="000A1662"/>
    <w:rsid w:val="000A19FC"/>
    <w:rsid w:val="000A28F2"/>
    <w:rsid w:val="000A5777"/>
    <w:rsid w:val="000A73AF"/>
    <w:rsid w:val="000B032A"/>
    <w:rsid w:val="000C0569"/>
    <w:rsid w:val="000C0F08"/>
    <w:rsid w:val="000C3450"/>
    <w:rsid w:val="000C3DBB"/>
    <w:rsid w:val="000C4B9A"/>
    <w:rsid w:val="000C618B"/>
    <w:rsid w:val="000D5B2E"/>
    <w:rsid w:val="000E02F0"/>
    <w:rsid w:val="000E0369"/>
    <w:rsid w:val="000E2B7D"/>
    <w:rsid w:val="000E7FA2"/>
    <w:rsid w:val="000F484D"/>
    <w:rsid w:val="000F673D"/>
    <w:rsid w:val="0010142E"/>
    <w:rsid w:val="001024A7"/>
    <w:rsid w:val="00104609"/>
    <w:rsid w:val="00105C5D"/>
    <w:rsid w:val="00111CC3"/>
    <w:rsid w:val="001236A0"/>
    <w:rsid w:val="00127A2F"/>
    <w:rsid w:val="00132412"/>
    <w:rsid w:val="00136388"/>
    <w:rsid w:val="001437E1"/>
    <w:rsid w:val="0014777B"/>
    <w:rsid w:val="00163119"/>
    <w:rsid w:val="00163F6C"/>
    <w:rsid w:val="00170844"/>
    <w:rsid w:val="0017241C"/>
    <w:rsid w:val="00176880"/>
    <w:rsid w:val="001864FB"/>
    <w:rsid w:val="001A10EB"/>
    <w:rsid w:val="001A5890"/>
    <w:rsid w:val="001A641B"/>
    <w:rsid w:val="001B3DE3"/>
    <w:rsid w:val="001B5A1A"/>
    <w:rsid w:val="001B76BA"/>
    <w:rsid w:val="001C12F8"/>
    <w:rsid w:val="001C1F0A"/>
    <w:rsid w:val="001C34AB"/>
    <w:rsid w:val="001E2BF6"/>
    <w:rsid w:val="001E34E4"/>
    <w:rsid w:val="001E4552"/>
    <w:rsid w:val="001F0C42"/>
    <w:rsid w:val="001F4456"/>
    <w:rsid w:val="00203E6F"/>
    <w:rsid w:val="00207F6A"/>
    <w:rsid w:val="00213804"/>
    <w:rsid w:val="002252BE"/>
    <w:rsid w:val="00242643"/>
    <w:rsid w:val="00243353"/>
    <w:rsid w:val="00247010"/>
    <w:rsid w:val="0025155A"/>
    <w:rsid w:val="00253A0D"/>
    <w:rsid w:val="002541B3"/>
    <w:rsid w:val="00260749"/>
    <w:rsid w:val="00263AF0"/>
    <w:rsid w:val="0026456B"/>
    <w:rsid w:val="00267597"/>
    <w:rsid w:val="002703AB"/>
    <w:rsid w:val="00293B53"/>
    <w:rsid w:val="00297E13"/>
    <w:rsid w:val="002A399E"/>
    <w:rsid w:val="002A4553"/>
    <w:rsid w:val="002A76FF"/>
    <w:rsid w:val="002C0A1A"/>
    <w:rsid w:val="002E031D"/>
    <w:rsid w:val="002E728E"/>
    <w:rsid w:val="002F1DD9"/>
    <w:rsid w:val="00307FDA"/>
    <w:rsid w:val="00310785"/>
    <w:rsid w:val="00310D1D"/>
    <w:rsid w:val="0031769B"/>
    <w:rsid w:val="003210F3"/>
    <w:rsid w:val="00324591"/>
    <w:rsid w:val="00327509"/>
    <w:rsid w:val="00327EAB"/>
    <w:rsid w:val="003338C3"/>
    <w:rsid w:val="0034196B"/>
    <w:rsid w:val="00341DC3"/>
    <w:rsid w:val="00354CDB"/>
    <w:rsid w:val="0036094A"/>
    <w:rsid w:val="003636A2"/>
    <w:rsid w:val="00363884"/>
    <w:rsid w:val="00364C48"/>
    <w:rsid w:val="00370931"/>
    <w:rsid w:val="0038095F"/>
    <w:rsid w:val="003823F7"/>
    <w:rsid w:val="00383EFD"/>
    <w:rsid w:val="00384B93"/>
    <w:rsid w:val="00387538"/>
    <w:rsid w:val="00394785"/>
    <w:rsid w:val="00396579"/>
    <w:rsid w:val="00397875"/>
    <w:rsid w:val="003A26E7"/>
    <w:rsid w:val="003B2C62"/>
    <w:rsid w:val="003C504C"/>
    <w:rsid w:val="003D16CB"/>
    <w:rsid w:val="003E1E12"/>
    <w:rsid w:val="003E44E9"/>
    <w:rsid w:val="003E5FB5"/>
    <w:rsid w:val="003F0802"/>
    <w:rsid w:val="003F4265"/>
    <w:rsid w:val="00400C88"/>
    <w:rsid w:val="00402382"/>
    <w:rsid w:val="0040619D"/>
    <w:rsid w:val="00411ECB"/>
    <w:rsid w:val="00420E31"/>
    <w:rsid w:val="004215E5"/>
    <w:rsid w:val="0042186B"/>
    <w:rsid w:val="004260D2"/>
    <w:rsid w:val="004265E3"/>
    <w:rsid w:val="00430907"/>
    <w:rsid w:val="004314E0"/>
    <w:rsid w:val="00433375"/>
    <w:rsid w:val="00434A4B"/>
    <w:rsid w:val="0043508F"/>
    <w:rsid w:val="00435A5D"/>
    <w:rsid w:val="00436CC6"/>
    <w:rsid w:val="004429A7"/>
    <w:rsid w:val="00445B8F"/>
    <w:rsid w:val="00452B4A"/>
    <w:rsid w:val="00466F61"/>
    <w:rsid w:val="00470B8C"/>
    <w:rsid w:val="004710FD"/>
    <w:rsid w:val="00471705"/>
    <w:rsid w:val="004757D5"/>
    <w:rsid w:val="00483A4B"/>
    <w:rsid w:val="00493367"/>
    <w:rsid w:val="00495346"/>
    <w:rsid w:val="004A24F9"/>
    <w:rsid w:val="004A4AAC"/>
    <w:rsid w:val="004A747B"/>
    <w:rsid w:val="004B6D6C"/>
    <w:rsid w:val="004B7B9F"/>
    <w:rsid w:val="004D041D"/>
    <w:rsid w:val="004D2FEB"/>
    <w:rsid w:val="004D7892"/>
    <w:rsid w:val="004E05D0"/>
    <w:rsid w:val="004E5B85"/>
    <w:rsid w:val="004F0F0D"/>
    <w:rsid w:val="004F18E7"/>
    <w:rsid w:val="004F1F95"/>
    <w:rsid w:val="004F5C79"/>
    <w:rsid w:val="00504BA4"/>
    <w:rsid w:val="00507463"/>
    <w:rsid w:val="00507D30"/>
    <w:rsid w:val="00511401"/>
    <w:rsid w:val="00517425"/>
    <w:rsid w:val="0052212B"/>
    <w:rsid w:val="0052680E"/>
    <w:rsid w:val="005273BA"/>
    <w:rsid w:val="00531522"/>
    <w:rsid w:val="00535604"/>
    <w:rsid w:val="00541F0A"/>
    <w:rsid w:val="00545413"/>
    <w:rsid w:val="00552097"/>
    <w:rsid w:val="00560C40"/>
    <w:rsid w:val="0056386D"/>
    <w:rsid w:val="00566310"/>
    <w:rsid w:val="0057514C"/>
    <w:rsid w:val="0058312F"/>
    <w:rsid w:val="00587950"/>
    <w:rsid w:val="00592720"/>
    <w:rsid w:val="0059422E"/>
    <w:rsid w:val="0059662B"/>
    <w:rsid w:val="00597C15"/>
    <w:rsid w:val="005A02F8"/>
    <w:rsid w:val="005A3527"/>
    <w:rsid w:val="005B2ED0"/>
    <w:rsid w:val="005B6EAC"/>
    <w:rsid w:val="005C26A6"/>
    <w:rsid w:val="005C4FDD"/>
    <w:rsid w:val="005C717F"/>
    <w:rsid w:val="005D6E3D"/>
    <w:rsid w:val="005E7DBC"/>
    <w:rsid w:val="00600AD3"/>
    <w:rsid w:val="00601B94"/>
    <w:rsid w:val="00612CA0"/>
    <w:rsid w:val="00614070"/>
    <w:rsid w:val="00615CCC"/>
    <w:rsid w:val="00621437"/>
    <w:rsid w:val="006239CE"/>
    <w:rsid w:val="00623A43"/>
    <w:rsid w:val="0062477C"/>
    <w:rsid w:val="00626C8C"/>
    <w:rsid w:val="00627599"/>
    <w:rsid w:val="006310E7"/>
    <w:rsid w:val="0063288F"/>
    <w:rsid w:val="00633736"/>
    <w:rsid w:val="00641106"/>
    <w:rsid w:val="00641129"/>
    <w:rsid w:val="00642B17"/>
    <w:rsid w:val="006436AC"/>
    <w:rsid w:val="00645C72"/>
    <w:rsid w:val="006529FF"/>
    <w:rsid w:val="00660663"/>
    <w:rsid w:val="006608DE"/>
    <w:rsid w:val="0066413D"/>
    <w:rsid w:val="00667611"/>
    <w:rsid w:val="006767BC"/>
    <w:rsid w:val="0068184D"/>
    <w:rsid w:val="00681C8A"/>
    <w:rsid w:val="0068291D"/>
    <w:rsid w:val="00682E0B"/>
    <w:rsid w:val="00682F3D"/>
    <w:rsid w:val="00684AB2"/>
    <w:rsid w:val="006922AF"/>
    <w:rsid w:val="00695A16"/>
    <w:rsid w:val="006A0845"/>
    <w:rsid w:val="006A1D1C"/>
    <w:rsid w:val="006A6361"/>
    <w:rsid w:val="006B114B"/>
    <w:rsid w:val="006B4FDE"/>
    <w:rsid w:val="006B5088"/>
    <w:rsid w:val="006C238F"/>
    <w:rsid w:val="006F3537"/>
    <w:rsid w:val="00702D48"/>
    <w:rsid w:val="00705305"/>
    <w:rsid w:val="007054C1"/>
    <w:rsid w:val="0070753C"/>
    <w:rsid w:val="0071214C"/>
    <w:rsid w:val="00712EE1"/>
    <w:rsid w:val="0073022F"/>
    <w:rsid w:val="007334AE"/>
    <w:rsid w:val="007455AF"/>
    <w:rsid w:val="00745C68"/>
    <w:rsid w:val="00756CDE"/>
    <w:rsid w:val="00764494"/>
    <w:rsid w:val="007723C2"/>
    <w:rsid w:val="0077345A"/>
    <w:rsid w:val="00782362"/>
    <w:rsid w:val="007A5670"/>
    <w:rsid w:val="007A73B9"/>
    <w:rsid w:val="007B67AD"/>
    <w:rsid w:val="007C5C42"/>
    <w:rsid w:val="007D5231"/>
    <w:rsid w:val="007F04D9"/>
    <w:rsid w:val="00803AB0"/>
    <w:rsid w:val="00805F35"/>
    <w:rsid w:val="00812883"/>
    <w:rsid w:val="00815D25"/>
    <w:rsid w:val="0085031C"/>
    <w:rsid w:val="008516EF"/>
    <w:rsid w:val="008528BA"/>
    <w:rsid w:val="00854DCD"/>
    <w:rsid w:val="00857099"/>
    <w:rsid w:val="0086083E"/>
    <w:rsid w:val="00861B9F"/>
    <w:rsid w:val="00863F78"/>
    <w:rsid w:val="008712E9"/>
    <w:rsid w:val="00883957"/>
    <w:rsid w:val="00886EE2"/>
    <w:rsid w:val="0088717C"/>
    <w:rsid w:val="00887A8B"/>
    <w:rsid w:val="00892319"/>
    <w:rsid w:val="008A29A2"/>
    <w:rsid w:val="008A3386"/>
    <w:rsid w:val="008B0FFE"/>
    <w:rsid w:val="008B2363"/>
    <w:rsid w:val="008C2611"/>
    <w:rsid w:val="008C3FC3"/>
    <w:rsid w:val="008D460C"/>
    <w:rsid w:val="008E7683"/>
    <w:rsid w:val="008F4FDB"/>
    <w:rsid w:val="008F586D"/>
    <w:rsid w:val="008F7B23"/>
    <w:rsid w:val="00904FBE"/>
    <w:rsid w:val="00906C7B"/>
    <w:rsid w:val="009152E0"/>
    <w:rsid w:val="00926262"/>
    <w:rsid w:val="00930518"/>
    <w:rsid w:val="00942C90"/>
    <w:rsid w:val="009470D8"/>
    <w:rsid w:val="009632A6"/>
    <w:rsid w:val="009720FB"/>
    <w:rsid w:val="00983078"/>
    <w:rsid w:val="00987C56"/>
    <w:rsid w:val="00990757"/>
    <w:rsid w:val="0099712C"/>
    <w:rsid w:val="009A48C4"/>
    <w:rsid w:val="009A4C0F"/>
    <w:rsid w:val="009A55EF"/>
    <w:rsid w:val="009A6FE0"/>
    <w:rsid w:val="009A79F5"/>
    <w:rsid w:val="009C00A2"/>
    <w:rsid w:val="009C3435"/>
    <w:rsid w:val="009E2F56"/>
    <w:rsid w:val="009E7856"/>
    <w:rsid w:val="009F303D"/>
    <w:rsid w:val="009F33C8"/>
    <w:rsid w:val="00A05973"/>
    <w:rsid w:val="00A05F5E"/>
    <w:rsid w:val="00A065EB"/>
    <w:rsid w:val="00A07CA0"/>
    <w:rsid w:val="00A14838"/>
    <w:rsid w:val="00A16CA1"/>
    <w:rsid w:val="00A300D8"/>
    <w:rsid w:val="00A42CB2"/>
    <w:rsid w:val="00A440F4"/>
    <w:rsid w:val="00A4764F"/>
    <w:rsid w:val="00A6048C"/>
    <w:rsid w:val="00A73646"/>
    <w:rsid w:val="00A73976"/>
    <w:rsid w:val="00A76560"/>
    <w:rsid w:val="00A776E9"/>
    <w:rsid w:val="00A81E90"/>
    <w:rsid w:val="00A93167"/>
    <w:rsid w:val="00AB431A"/>
    <w:rsid w:val="00AB4ECE"/>
    <w:rsid w:val="00AC58FF"/>
    <w:rsid w:val="00AC6055"/>
    <w:rsid w:val="00AE4D7D"/>
    <w:rsid w:val="00AE7F00"/>
    <w:rsid w:val="00AF5831"/>
    <w:rsid w:val="00B0519A"/>
    <w:rsid w:val="00B21BC2"/>
    <w:rsid w:val="00B27460"/>
    <w:rsid w:val="00B3050C"/>
    <w:rsid w:val="00B325A9"/>
    <w:rsid w:val="00B348CC"/>
    <w:rsid w:val="00B367AB"/>
    <w:rsid w:val="00B40167"/>
    <w:rsid w:val="00B54222"/>
    <w:rsid w:val="00B54BA6"/>
    <w:rsid w:val="00B62559"/>
    <w:rsid w:val="00B62D9A"/>
    <w:rsid w:val="00B728E5"/>
    <w:rsid w:val="00B75D08"/>
    <w:rsid w:val="00B777F4"/>
    <w:rsid w:val="00B832E4"/>
    <w:rsid w:val="00B85FEE"/>
    <w:rsid w:val="00B87443"/>
    <w:rsid w:val="00B877A0"/>
    <w:rsid w:val="00B90C81"/>
    <w:rsid w:val="00B91B40"/>
    <w:rsid w:val="00B9206C"/>
    <w:rsid w:val="00B933AD"/>
    <w:rsid w:val="00B94B49"/>
    <w:rsid w:val="00BA1CB4"/>
    <w:rsid w:val="00BA3349"/>
    <w:rsid w:val="00BA531B"/>
    <w:rsid w:val="00BA5743"/>
    <w:rsid w:val="00BB29F6"/>
    <w:rsid w:val="00BB32A0"/>
    <w:rsid w:val="00BB3863"/>
    <w:rsid w:val="00BC5BAA"/>
    <w:rsid w:val="00BD3A61"/>
    <w:rsid w:val="00BD3E40"/>
    <w:rsid w:val="00BE15EA"/>
    <w:rsid w:val="00BE72FF"/>
    <w:rsid w:val="00BF6D99"/>
    <w:rsid w:val="00C060D9"/>
    <w:rsid w:val="00C07551"/>
    <w:rsid w:val="00C149AB"/>
    <w:rsid w:val="00C16191"/>
    <w:rsid w:val="00C20A9C"/>
    <w:rsid w:val="00C37D91"/>
    <w:rsid w:val="00C419CB"/>
    <w:rsid w:val="00C43240"/>
    <w:rsid w:val="00C45583"/>
    <w:rsid w:val="00C52FD2"/>
    <w:rsid w:val="00C65D06"/>
    <w:rsid w:val="00C75D8E"/>
    <w:rsid w:val="00C8436D"/>
    <w:rsid w:val="00C9000A"/>
    <w:rsid w:val="00C91DAE"/>
    <w:rsid w:val="00C9380F"/>
    <w:rsid w:val="00C9637C"/>
    <w:rsid w:val="00C9780B"/>
    <w:rsid w:val="00CA0181"/>
    <w:rsid w:val="00CA0D04"/>
    <w:rsid w:val="00CA725C"/>
    <w:rsid w:val="00CB3E92"/>
    <w:rsid w:val="00CB74EA"/>
    <w:rsid w:val="00CC2480"/>
    <w:rsid w:val="00CC758E"/>
    <w:rsid w:val="00CD27EB"/>
    <w:rsid w:val="00CE1A6A"/>
    <w:rsid w:val="00CE36F4"/>
    <w:rsid w:val="00CE467E"/>
    <w:rsid w:val="00CE72D9"/>
    <w:rsid w:val="00D037DA"/>
    <w:rsid w:val="00D06DFB"/>
    <w:rsid w:val="00D06F51"/>
    <w:rsid w:val="00D15F5A"/>
    <w:rsid w:val="00D2281A"/>
    <w:rsid w:val="00D27274"/>
    <w:rsid w:val="00D27EFF"/>
    <w:rsid w:val="00D319B8"/>
    <w:rsid w:val="00D32C50"/>
    <w:rsid w:val="00D44FE8"/>
    <w:rsid w:val="00D532C8"/>
    <w:rsid w:val="00D5436B"/>
    <w:rsid w:val="00D77F4B"/>
    <w:rsid w:val="00D858D4"/>
    <w:rsid w:val="00D9068C"/>
    <w:rsid w:val="00D92764"/>
    <w:rsid w:val="00DA0714"/>
    <w:rsid w:val="00DA13A4"/>
    <w:rsid w:val="00DA2218"/>
    <w:rsid w:val="00DB4299"/>
    <w:rsid w:val="00DC07DC"/>
    <w:rsid w:val="00DC115E"/>
    <w:rsid w:val="00DC70C8"/>
    <w:rsid w:val="00DC71F0"/>
    <w:rsid w:val="00DD1A22"/>
    <w:rsid w:val="00DD34D3"/>
    <w:rsid w:val="00DD4F1F"/>
    <w:rsid w:val="00DF5B76"/>
    <w:rsid w:val="00DF5DFD"/>
    <w:rsid w:val="00E137E4"/>
    <w:rsid w:val="00E13C23"/>
    <w:rsid w:val="00E22E93"/>
    <w:rsid w:val="00E24574"/>
    <w:rsid w:val="00E31697"/>
    <w:rsid w:val="00E36874"/>
    <w:rsid w:val="00E409AC"/>
    <w:rsid w:val="00E617D3"/>
    <w:rsid w:val="00E655E6"/>
    <w:rsid w:val="00E660FC"/>
    <w:rsid w:val="00E70ECC"/>
    <w:rsid w:val="00E7286A"/>
    <w:rsid w:val="00E90009"/>
    <w:rsid w:val="00E9420A"/>
    <w:rsid w:val="00EA010D"/>
    <w:rsid w:val="00EA0A3B"/>
    <w:rsid w:val="00EA1307"/>
    <w:rsid w:val="00EA75BD"/>
    <w:rsid w:val="00EC06B5"/>
    <w:rsid w:val="00EC33C2"/>
    <w:rsid w:val="00EC532B"/>
    <w:rsid w:val="00ED52C1"/>
    <w:rsid w:val="00ED6F00"/>
    <w:rsid w:val="00EE695B"/>
    <w:rsid w:val="00EF27EA"/>
    <w:rsid w:val="00EF741D"/>
    <w:rsid w:val="00F034D8"/>
    <w:rsid w:val="00F31435"/>
    <w:rsid w:val="00F31F83"/>
    <w:rsid w:val="00F419FD"/>
    <w:rsid w:val="00F5031F"/>
    <w:rsid w:val="00F511D7"/>
    <w:rsid w:val="00F5345D"/>
    <w:rsid w:val="00F54286"/>
    <w:rsid w:val="00F726E4"/>
    <w:rsid w:val="00F76F52"/>
    <w:rsid w:val="00F801C8"/>
    <w:rsid w:val="00F828D9"/>
    <w:rsid w:val="00F85769"/>
    <w:rsid w:val="00F95B0F"/>
    <w:rsid w:val="00F9613E"/>
    <w:rsid w:val="00F97FDC"/>
    <w:rsid w:val="00FA393C"/>
    <w:rsid w:val="00FA6EE7"/>
    <w:rsid w:val="00FA7DF1"/>
    <w:rsid w:val="00FA7F48"/>
    <w:rsid w:val="00FC210A"/>
    <w:rsid w:val="00FC3939"/>
    <w:rsid w:val="00FC7930"/>
    <w:rsid w:val="00FD13C3"/>
    <w:rsid w:val="00FD26C0"/>
    <w:rsid w:val="00FD4C40"/>
    <w:rsid w:val="00FD6BD9"/>
    <w:rsid w:val="00FE4B5E"/>
    <w:rsid w:val="00FF2F3B"/>
    <w:rsid w:val="00FF7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F19E3E"/>
  <w15:docId w15:val="{E67ED7DC-E678-4BDC-A9FD-C2BF62E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4">
    <w:name w:val="heading 4"/>
    <w:basedOn w:val="Normal"/>
    <w:next w:val="Normal"/>
    <w:link w:val="Heading4Char"/>
    <w:uiPriority w:val="9"/>
    <w:semiHidden/>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semiHidden/>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99"/>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semiHidden/>
    <w:unhideWhenUsed/>
    <w:rsid w:val="00F5031F"/>
    <w:rPr>
      <w:sz w:val="20"/>
      <w:szCs w:val="20"/>
    </w:rPr>
  </w:style>
  <w:style w:type="character" w:customStyle="1" w:styleId="CommentTextChar">
    <w:name w:val="Comment Text Char"/>
    <w:basedOn w:val="DefaultParagraphFont"/>
    <w:link w:val="CommentText"/>
    <w:uiPriority w:val="99"/>
    <w:semiHidden/>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customStyle="1" w:styleId="GridTable1Light1">
    <w:name w:val="Grid Table 1 Light1"/>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table" w:customStyle="1" w:styleId="ListTable1Light-Accent31">
    <w:name w:val="List Table 1 Light - Accent 31"/>
    <w:basedOn w:val="TableNormal"/>
    <w:uiPriority w:val="46"/>
    <w:rsid w:val="008C3FC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noteReference">
    <w:name w:val="footnote reference"/>
    <w:uiPriority w:val="99"/>
    <w:semiHidden/>
    <w:rsid w:val="004314E0"/>
  </w:style>
  <w:style w:type="paragraph" w:styleId="FootnoteText">
    <w:name w:val="footnote text"/>
    <w:basedOn w:val="Normal"/>
    <w:link w:val="FootnoteTextChar"/>
    <w:uiPriority w:val="99"/>
    <w:semiHidden/>
    <w:rsid w:val="004314E0"/>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314E0"/>
    <w:rPr>
      <w:rFonts w:ascii="Times New Roman" w:eastAsia="Times New Roman" w:hAnsi="Times New Roman"/>
      <w:sz w:val="20"/>
      <w:szCs w:val="20"/>
    </w:rPr>
  </w:style>
  <w:style w:type="table" w:customStyle="1" w:styleId="PlainTable41">
    <w:name w:val="Plain Table 41"/>
    <w:basedOn w:val="TableNormal"/>
    <w:uiPriority w:val="44"/>
    <w:rsid w:val="00B367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B367A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367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A3386"/>
    <w:pPr>
      <w:widowControl/>
      <w:autoSpaceDE/>
      <w:autoSpaceDN/>
      <w:adjustRightInd/>
      <w:spacing w:before="100" w:beforeAutospacing="1" w:after="100" w:afterAutospacing="1"/>
    </w:pPr>
    <w:rPr>
      <w:rFonts w:ascii="Times New Roman" w:hAnsi="Times New Roman"/>
      <w:sz w:val="24"/>
    </w:rPr>
  </w:style>
  <w:style w:type="character" w:styleId="FollowedHyperlink">
    <w:name w:val="FollowedHyperlink"/>
    <w:basedOn w:val="DefaultParagraphFont"/>
    <w:uiPriority w:val="99"/>
    <w:semiHidden/>
    <w:unhideWhenUsed/>
    <w:rsid w:val="00886EE2"/>
    <w:rPr>
      <w:color w:val="954F72" w:themeColor="followedHyperlink"/>
      <w:u w:val="single"/>
    </w:rPr>
  </w:style>
  <w:style w:type="character" w:customStyle="1" w:styleId="username">
    <w:name w:val="username"/>
    <w:basedOn w:val="DefaultParagraphFont"/>
    <w:rsid w:val="00104609"/>
  </w:style>
  <w:style w:type="character" w:customStyle="1" w:styleId="UnresolvedMention">
    <w:name w:val="Unresolved Mention"/>
    <w:basedOn w:val="DefaultParagraphFont"/>
    <w:uiPriority w:val="99"/>
    <w:semiHidden/>
    <w:unhideWhenUsed/>
    <w:rsid w:val="00384B93"/>
    <w:rPr>
      <w:color w:val="808080"/>
      <w:shd w:val="clear" w:color="auto" w:fill="E6E6E6"/>
    </w:rPr>
  </w:style>
  <w:style w:type="paragraph" w:customStyle="1" w:styleId="WW-Default">
    <w:name w:val="WW-Default"/>
    <w:rsid w:val="00396579"/>
    <w:pPr>
      <w:widowControl w:val="0"/>
      <w:suppressAutoHyphens/>
      <w:autoSpaceDE w:val="0"/>
      <w:spacing w:after="0" w:line="240" w:lineRule="auto"/>
    </w:pPr>
    <w:rPr>
      <w:rFonts w:ascii="Helvetica" w:eastAsia="Arial" w:hAnsi="Helvetica" w:cs="Helvetica"/>
      <w:color w:val="000000"/>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81357">
      <w:bodyDiv w:val="1"/>
      <w:marLeft w:val="0"/>
      <w:marRight w:val="0"/>
      <w:marTop w:val="0"/>
      <w:marBottom w:val="0"/>
      <w:divBdr>
        <w:top w:val="none" w:sz="0" w:space="0" w:color="auto"/>
        <w:left w:val="none" w:sz="0" w:space="0" w:color="auto"/>
        <w:bottom w:val="none" w:sz="0" w:space="0" w:color="auto"/>
        <w:right w:val="none" w:sz="0" w:space="0" w:color="auto"/>
      </w:divBdr>
    </w:div>
    <w:div w:id="474180463">
      <w:bodyDiv w:val="1"/>
      <w:marLeft w:val="0"/>
      <w:marRight w:val="0"/>
      <w:marTop w:val="0"/>
      <w:marBottom w:val="0"/>
      <w:divBdr>
        <w:top w:val="none" w:sz="0" w:space="0" w:color="auto"/>
        <w:left w:val="none" w:sz="0" w:space="0" w:color="auto"/>
        <w:bottom w:val="none" w:sz="0" w:space="0" w:color="auto"/>
        <w:right w:val="none" w:sz="0" w:space="0" w:color="auto"/>
      </w:divBdr>
    </w:div>
    <w:div w:id="604190046">
      <w:bodyDiv w:val="1"/>
      <w:marLeft w:val="0"/>
      <w:marRight w:val="0"/>
      <w:marTop w:val="0"/>
      <w:marBottom w:val="0"/>
      <w:divBdr>
        <w:top w:val="none" w:sz="0" w:space="0" w:color="auto"/>
        <w:left w:val="none" w:sz="0" w:space="0" w:color="auto"/>
        <w:bottom w:val="none" w:sz="0" w:space="0" w:color="auto"/>
        <w:right w:val="none" w:sz="0" w:space="0" w:color="auto"/>
      </w:divBdr>
    </w:div>
    <w:div w:id="631912002">
      <w:bodyDiv w:val="1"/>
      <w:marLeft w:val="0"/>
      <w:marRight w:val="0"/>
      <w:marTop w:val="0"/>
      <w:marBottom w:val="0"/>
      <w:divBdr>
        <w:top w:val="none" w:sz="0" w:space="0" w:color="auto"/>
        <w:left w:val="none" w:sz="0" w:space="0" w:color="auto"/>
        <w:bottom w:val="none" w:sz="0" w:space="0" w:color="auto"/>
        <w:right w:val="none" w:sz="0" w:space="0" w:color="auto"/>
      </w:divBdr>
    </w:div>
    <w:div w:id="1151486923">
      <w:bodyDiv w:val="1"/>
      <w:marLeft w:val="0"/>
      <w:marRight w:val="0"/>
      <w:marTop w:val="0"/>
      <w:marBottom w:val="0"/>
      <w:divBdr>
        <w:top w:val="none" w:sz="0" w:space="0" w:color="auto"/>
        <w:left w:val="none" w:sz="0" w:space="0" w:color="auto"/>
        <w:bottom w:val="none" w:sz="0" w:space="0" w:color="auto"/>
        <w:right w:val="none" w:sz="0" w:space="0" w:color="auto"/>
      </w:divBdr>
    </w:div>
    <w:div w:id="1378701173">
      <w:bodyDiv w:val="1"/>
      <w:marLeft w:val="0"/>
      <w:marRight w:val="0"/>
      <w:marTop w:val="0"/>
      <w:marBottom w:val="0"/>
      <w:divBdr>
        <w:top w:val="none" w:sz="0" w:space="0" w:color="auto"/>
        <w:left w:val="none" w:sz="0" w:space="0" w:color="auto"/>
        <w:bottom w:val="none" w:sz="0" w:space="0" w:color="auto"/>
        <w:right w:val="none" w:sz="0" w:space="0" w:color="auto"/>
      </w:divBdr>
    </w:div>
    <w:div w:id="1625235721">
      <w:bodyDiv w:val="1"/>
      <w:marLeft w:val="0"/>
      <w:marRight w:val="0"/>
      <w:marTop w:val="0"/>
      <w:marBottom w:val="0"/>
      <w:divBdr>
        <w:top w:val="none" w:sz="0" w:space="0" w:color="auto"/>
        <w:left w:val="none" w:sz="0" w:space="0" w:color="auto"/>
        <w:bottom w:val="none" w:sz="0" w:space="0" w:color="auto"/>
        <w:right w:val="none" w:sz="0" w:space="0" w:color="auto"/>
      </w:divBdr>
      <w:divsChild>
        <w:div w:id="281419708">
          <w:marLeft w:val="0"/>
          <w:marRight w:val="0"/>
          <w:marTop w:val="0"/>
          <w:marBottom w:val="0"/>
          <w:divBdr>
            <w:top w:val="none" w:sz="0" w:space="0" w:color="auto"/>
            <w:left w:val="none" w:sz="0" w:space="0" w:color="auto"/>
            <w:bottom w:val="none" w:sz="0" w:space="0" w:color="auto"/>
            <w:right w:val="none" w:sz="0" w:space="0" w:color="auto"/>
          </w:divBdr>
        </w:div>
        <w:div w:id="2038308490">
          <w:marLeft w:val="0"/>
          <w:marRight w:val="0"/>
          <w:marTop w:val="0"/>
          <w:marBottom w:val="0"/>
          <w:divBdr>
            <w:top w:val="none" w:sz="0" w:space="0" w:color="auto"/>
            <w:left w:val="none" w:sz="0" w:space="0" w:color="auto"/>
            <w:bottom w:val="none" w:sz="0" w:space="0" w:color="auto"/>
            <w:right w:val="none" w:sz="0" w:space="0" w:color="auto"/>
          </w:divBdr>
        </w:div>
        <w:div w:id="563688912">
          <w:marLeft w:val="0"/>
          <w:marRight w:val="0"/>
          <w:marTop w:val="0"/>
          <w:marBottom w:val="0"/>
          <w:divBdr>
            <w:top w:val="none" w:sz="0" w:space="0" w:color="auto"/>
            <w:left w:val="none" w:sz="0" w:space="0" w:color="auto"/>
            <w:bottom w:val="none" w:sz="0" w:space="0" w:color="auto"/>
            <w:right w:val="none" w:sz="0" w:space="0" w:color="auto"/>
          </w:divBdr>
        </w:div>
        <w:div w:id="1925651055">
          <w:marLeft w:val="0"/>
          <w:marRight w:val="0"/>
          <w:marTop w:val="0"/>
          <w:marBottom w:val="0"/>
          <w:divBdr>
            <w:top w:val="none" w:sz="0" w:space="0" w:color="auto"/>
            <w:left w:val="none" w:sz="0" w:space="0" w:color="auto"/>
            <w:bottom w:val="none" w:sz="0" w:space="0" w:color="auto"/>
            <w:right w:val="none" w:sz="0" w:space="0" w:color="auto"/>
          </w:divBdr>
        </w:div>
        <w:div w:id="668362113">
          <w:marLeft w:val="0"/>
          <w:marRight w:val="0"/>
          <w:marTop w:val="0"/>
          <w:marBottom w:val="0"/>
          <w:divBdr>
            <w:top w:val="none" w:sz="0" w:space="0" w:color="auto"/>
            <w:left w:val="none" w:sz="0" w:space="0" w:color="auto"/>
            <w:bottom w:val="none" w:sz="0" w:space="0" w:color="auto"/>
            <w:right w:val="none" w:sz="0" w:space="0" w:color="auto"/>
          </w:divBdr>
        </w:div>
        <w:div w:id="981353052">
          <w:marLeft w:val="0"/>
          <w:marRight w:val="0"/>
          <w:marTop w:val="0"/>
          <w:marBottom w:val="0"/>
          <w:divBdr>
            <w:top w:val="none" w:sz="0" w:space="0" w:color="auto"/>
            <w:left w:val="none" w:sz="0" w:space="0" w:color="auto"/>
            <w:bottom w:val="none" w:sz="0" w:space="0" w:color="auto"/>
            <w:right w:val="none" w:sz="0" w:space="0" w:color="auto"/>
          </w:divBdr>
        </w:div>
        <w:div w:id="1409227603">
          <w:marLeft w:val="0"/>
          <w:marRight w:val="0"/>
          <w:marTop w:val="0"/>
          <w:marBottom w:val="0"/>
          <w:divBdr>
            <w:top w:val="none" w:sz="0" w:space="0" w:color="auto"/>
            <w:left w:val="none" w:sz="0" w:space="0" w:color="auto"/>
            <w:bottom w:val="none" w:sz="0" w:space="0" w:color="auto"/>
            <w:right w:val="none" w:sz="0" w:space="0" w:color="auto"/>
          </w:divBdr>
        </w:div>
      </w:divsChild>
    </w:div>
    <w:div w:id="1749695812">
      <w:bodyDiv w:val="1"/>
      <w:marLeft w:val="0"/>
      <w:marRight w:val="0"/>
      <w:marTop w:val="0"/>
      <w:marBottom w:val="0"/>
      <w:divBdr>
        <w:top w:val="none" w:sz="0" w:space="0" w:color="auto"/>
        <w:left w:val="none" w:sz="0" w:space="0" w:color="auto"/>
        <w:bottom w:val="none" w:sz="0" w:space="0" w:color="auto"/>
        <w:right w:val="none" w:sz="0" w:space="0" w:color="auto"/>
      </w:divBdr>
    </w:div>
    <w:div w:id="1817140239">
      <w:bodyDiv w:val="1"/>
      <w:marLeft w:val="0"/>
      <w:marRight w:val="0"/>
      <w:marTop w:val="0"/>
      <w:marBottom w:val="0"/>
      <w:divBdr>
        <w:top w:val="none" w:sz="0" w:space="0" w:color="auto"/>
        <w:left w:val="none" w:sz="0" w:space="0" w:color="auto"/>
        <w:bottom w:val="none" w:sz="0" w:space="0" w:color="auto"/>
        <w:right w:val="none" w:sz="0" w:space="0" w:color="auto"/>
      </w:divBdr>
      <w:divsChild>
        <w:div w:id="49576953">
          <w:marLeft w:val="0"/>
          <w:marRight w:val="0"/>
          <w:marTop w:val="0"/>
          <w:marBottom w:val="0"/>
          <w:divBdr>
            <w:top w:val="none" w:sz="0" w:space="0" w:color="auto"/>
            <w:left w:val="none" w:sz="0" w:space="0" w:color="auto"/>
            <w:bottom w:val="none" w:sz="0" w:space="0" w:color="auto"/>
            <w:right w:val="none" w:sz="0" w:space="0" w:color="auto"/>
          </w:divBdr>
        </w:div>
        <w:div w:id="891035651">
          <w:marLeft w:val="0"/>
          <w:marRight w:val="0"/>
          <w:marTop w:val="0"/>
          <w:marBottom w:val="0"/>
          <w:divBdr>
            <w:top w:val="none" w:sz="0" w:space="0" w:color="auto"/>
            <w:left w:val="none" w:sz="0" w:space="0" w:color="auto"/>
            <w:bottom w:val="none" w:sz="0" w:space="0" w:color="auto"/>
            <w:right w:val="none" w:sz="0" w:space="0" w:color="auto"/>
          </w:divBdr>
        </w:div>
        <w:div w:id="854074570">
          <w:marLeft w:val="0"/>
          <w:marRight w:val="0"/>
          <w:marTop w:val="0"/>
          <w:marBottom w:val="0"/>
          <w:divBdr>
            <w:top w:val="none" w:sz="0" w:space="0" w:color="auto"/>
            <w:left w:val="none" w:sz="0" w:space="0" w:color="auto"/>
            <w:bottom w:val="none" w:sz="0" w:space="0" w:color="auto"/>
            <w:right w:val="none" w:sz="0" w:space="0" w:color="auto"/>
          </w:divBdr>
        </w:div>
      </w:divsChild>
    </w:div>
    <w:div w:id="2101246862">
      <w:bodyDiv w:val="1"/>
      <w:marLeft w:val="0"/>
      <w:marRight w:val="0"/>
      <w:marTop w:val="0"/>
      <w:marBottom w:val="0"/>
      <w:divBdr>
        <w:top w:val="none" w:sz="0" w:space="0" w:color="auto"/>
        <w:left w:val="none" w:sz="0" w:space="0" w:color="auto"/>
        <w:bottom w:val="none" w:sz="0" w:space="0" w:color="auto"/>
        <w:right w:val="none" w:sz="0" w:space="0" w:color="auto"/>
      </w:divBdr>
      <w:divsChild>
        <w:div w:id="897008011">
          <w:marLeft w:val="0"/>
          <w:marRight w:val="0"/>
          <w:marTop w:val="0"/>
          <w:marBottom w:val="0"/>
          <w:divBdr>
            <w:top w:val="none" w:sz="0" w:space="0" w:color="auto"/>
            <w:left w:val="none" w:sz="0" w:space="0" w:color="auto"/>
            <w:bottom w:val="none" w:sz="0" w:space="0" w:color="auto"/>
            <w:right w:val="none" w:sz="0" w:space="0" w:color="auto"/>
          </w:divBdr>
        </w:div>
        <w:div w:id="42514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46C0-D1E7-402C-894A-1C2AAC41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4</cp:revision>
  <cp:lastPrinted>2018-09-12T10:46:00Z</cp:lastPrinted>
  <dcterms:created xsi:type="dcterms:W3CDTF">2018-12-11T21:34:00Z</dcterms:created>
  <dcterms:modified xsi:type="dcterms:W3CDTF">2018-12-11T22:06:00Z</dcterms:modified>
</cp:coreProperties>
</file>