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294"/>
        <w:tblW w:w="9540" w:type="dxa"/>
        <w:tblBorders>
          <w:insideV w:val="single" w:sz="12" w:space="0" w:color="auto"/>
        </w:tblBorders>
        <w:tblLayout w:type="fixed"/>
        <w:tblCellMar>
          <w:top w:w="198" w:type="dxa"/>
        </w:tblCellMar>
        <w:tblLook w:val="0000" w:firstRow="0" w:lastRow="0" w:firstColumn="0" w:lastColumn="0" w:noHBand="0" w:noVBand="0"/>
      </w:tblPr>
      <w:tblGrid>
        <w:gridCol w:w="1526"/>
        <w:gridCol w:w="4594"/>
        <w:gridCol w:w="3420"/>
      </w:tblGrid>
      <w:tr w:rsidR="00B25614" w:rsidRPr="00FD56E6" w:rsidTr="00F73717">
        <w:trPr>
          <w:cantSplit/>
          <w:trHeight w:val="725"/>
        </w:trPr>
        <w:tc>
          <w:tcPr>
            <w:tcW w:w="9540" w:type="dxa"/>
            <w:gridSpan w:val="3"/>
            <w:tcBorders>
              <w:bottom w:val="single" w:sz="12" w:space="0" w:color="auto"/>
            </w:tcBorders>
            <w:tcMar>
              <w:top w:w="85" w:type="dxa"/>
            </w:tcMar>
          </w:tcPr>
          <w:p w:rsidR="00B25614" w:rsidRPr="00FD56E6" w:rsidRDefault="00F73717" w:rsidP="00F10A48">
            <w:pPr>
              <w:tabs>
                <w:tab w:val="left" w:pos="-1057"/>
                <w:tab w:val="left" w:pos="-720"/>
                <w:tab w:val="left" w:pos="0"/>
                <w:tab w:val="left" w:pos="141"/>
                <w:tab w:val="left" w:pos="720"/>
                <w:tab w:val="right" w:pos="8955"/>
              </w:tabs>
              <w:jc w:val="both"/>
              <w:rPr>
                <w:sz w:val="22"/>
                <w:szCs w:val="22"/>
                <w:lang w:val="en-GB"/>
              </w:rPr>
            </w:pPr>
            <w:r w:rsidRPr="00F9613E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DF19FE9" wp14:editId="69909E69">
                  <wp:simplePos x="0" y="0"/>
                  <wp:positionH relativeFrom="column">
                    <wp:posOffset>939165</wp:posOffset>
                  </wp:positionH>
                  <wp:positionV relativeFrom="paragraph">
                    <wp:posOffset>207645</wp:posOffset>
                  </wp:positionV>
                  <wp:extent cx="255960" cy="359410"/>
                  <wp:effectExtent l="0" t="0" r="0" b="2540"/>
                  <wp:wrapNone/>
                  <wp:docPr id="7" name="Picture 8" descr="cms_logo-for_letterhead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8" descr="cms_logo-for_letterhead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6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228BD365" wp14:editId="693996B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169545</wp:posOffset>
                  </wp:positionV>
                  <wp:extent cx="939165" cy="506730"/>
                  <wp:effectExtent l="0" t="0" r="0" b="0"/>
                  <wp:wrapTight wrapText="bothSides">
                    <wp:wrapPolygon edited="0">
                      <wp:start x="2191" y="2436"/>
                      <wp:lineTo x="1314" y="14617"/>
                      <wp:lineTo x="1314" y="18677"/>
                      <wp:lineTo x="19716" y="18677"/>
                      <wp:lineTo x="19278" y="5684"/>
                      <wp:lineTo x="18840" y="2436"/>
                      <wp:lineTo x="2191" y="2436"/>
                    </wp:wrapPolygon>
                  </wp:wrapTight>
                  <wp:docPr id="12" name="Picture 12" descr="UNEnvironment_Logo_Spanish_Short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UNEnvironment_Logo_Spanish_Short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50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5614" w:rsidRPr="00FD56E6">
              <w:rPr>
                <w:sz w:val="22"/>
                <w:szCs w:val="22"/>
                <w:lang w:val="en-GB"/>
              </w:rPr>
              <w:tab/>
            </w:r>
          </w:p>
        </w:tc>
      </w:tr>
      <w:tr w:rsidR="00B25614" w:rsidRPr="007A676A" w:rsidTr="00F73717">
        <w:trPr>
          <w:trHeight w:val="1586"/>
        </w:trPr>
        <w:tc>
          <w:tcPr>
            <w:tcW w:w="1526" w:type="dxa"/>
            <w:tcBorders>
              <w:top w:val="single" w:sz="12" w:space="0" w:color="auto"/>
              <w:bottom w:val="single" w:sz="12" w:space="0" w:color="auto"/>
              <w:right w:val="nil"/>
            </w:tcBorders>
            <w:tcMar>
              <w:top w:w="85" w:type="dxa"/>
            </w:tcMar>
          </w:tcPr>
          <w:p w:rsidR="00B25614" w:rsidRPr="00FD56E6" w:rsidRDefault="00B25614" w:rsidP="00F10A48">
            <w:pPr>
              <w:jc w:val="both"/>
              <w:rPr>
                <w:sz w:val="22"/>
                <w:szCs w:val="22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FA1A0D1" wp14:editId="16A32CAC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-15240</wp:posOffset>
                  </wp:positionV>
                  <wp:extent cx="1029970" cy="87947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97" t="4031" r="6290" b="38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970" cy="87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85" w:type="dxa"/>
            </w:tcMar>
          </w:tcPr>
          <w:p w:rsidR="00B25614" w:rsidRPr="00F73717" w:rsidRDefault="003F19C8" w:rsidP="00F73717">
            <w:pPr>
              <w:spacing w:before="40"/>
              <w:ind w:left="274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F73717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MEMORANDO DE ENTENDIMIENTO SOBRE LA CONSERVACI</w:t>
            </w:r>
            <w:r w:rsidRPr="009A5554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Ó</w:t>
            </w:r>
            <w:r w:rsidRPr="00F73717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N DE TIBURONES MIGRATORIOS</w:t>
            </w:r>
          </w:p>
        </w:tc>
        <w:tc>
          <w:tcPr>
            <w:tcW w:w="3420" w:type="dxa"/>
            <w:tcBorders>
              <w:top w:val="single" w:sz="12" w:space="0" w:color="auto"/>
              <w:left w:val="nil"/>
              <w:bottom w:val="single" w:sz="12" w:space="0" w:color="auto"/>
            </w:tcBorders>
            <w:tcMar>
              <w:top w:w="85" w:type="dxa"/>
            </w:tcMar>
          </w:tcPr>
          <w:p w:rsidR="00B25614" w:rsidRDefault="007631D7" w:rsidP="007631D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bookmarkStart w:id="0" w:name="_Hlk532330802"/>
            <w:r>
              <w:rPr>
                <w:rFonts w:ascii="Arial" w:hAnsi="Arial" w:cs="Arial"/>
                <w:sz w:val="22"/>
                <w:szCs w:val="22"/>
                <w:lang w:val="fr-FR"/>
              </w:rPr>
              <w:t>CMS/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fr-FR"/>
              </w:rPr>
              <w:t>Sharks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fr-FR"/>
              </w:rPr>
              <w:t>/MOS</w:t>
            </w:r>
            <w:r w:rsidR="006E6D52">
              <w:rPr>
                <w:rFonts w:ascii="Arial" w:hAnsi="Arial" w:cs="Arial"/>
                <w:sz w:val="22"/>
                <w:szCs w:val="22"/>
                <w:lang w:val="fr-FR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/CRP</w:t>
            </w:r>
            <w:r w:rsidR="008E7CA4">
              <w:rPr>
                <w:rFonts w:ascii="Arial" w:hAnsi="Arial" w:cs="Arial"/>
                <w:sz w:val="22"/>
                <w:szCs w:val="22"/>
                <w:lang w:val="fr-FR"/>
              </w:rPr>
              <w:t>1</w:t>
            </w:r>
          </w:p>
          <w:bookmarkEnd w:id="0"/>
          <w:p w:rsidR="007631D7" w:rsidRPr="00766125" w:rsidRDefault="007631D7" w:rsidP="007631D7">
            <w:pPr>
              <w:spacing w:before="40" w:after="40"/>
              <w:jc w:val="both"/>
              <w:rPr>
                <w:sz w:val="22"/>
                <w:szCs w:val="22"/>
                <w:lang w:val="fr-FR"/>
              </w:rPr>
            </w:pPr>
            <w:r w:rsidRPr="008E7CA4">
              <w:rPr>
                <w:rFonts w:ascii="Arial" w:hAnsi="Arial" w:cs="Arial"/>
                <w:sz w:val="22"/>
                <w:szCs w:val="22"/>
                <w:lang w:val="fr-FR"/>
              </w:rPr>
              <w:t>11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fr-FR"/>
              </w:rPr>
              <w:t>diciembre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 de 2018</w:t>
            </w:r>
          </w:p>
        </w:tc>
      </w:tr>
    </w:tbl>
    <w:p w:rsidR="003F19C8" w:rsidRPr="00F73717" w:rsidRDefault="003F19C8" w:rsidP="00766125">
      <w:pPr>
        <w:jc w:val="both"/>
        <w:rPr>
          <w:rFonts w:ascii="Arial" w:hAnsi="Arial" w:cs="Arial"/>
          <w:sz w:val="22"/>
          <w:szCs w:val="22"/>
          <w:lang w:val="es-ES"/>
        </w:rPr>
      </w:pPr>
      <w:r w:rsidRPr="00F73717">
        <w:rPr>
          <w:rFonts w:ascii="Arial" w:hAnsi="Arial" w:cs="Arial"/>
          <w:sz w:val="22"/>
          <w:szCs w:val="22"/>
          <w:lang w:val="es-ES"/>
        </w:rPr>
        <w:t xml:space="preserve"> </w:t>
      </w:r>
    </w:p>
    <w:p w:rsidR="00B25614" w:rsidRDefault="00B25614" w:rsidP="00B25614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7631D7" w:rsidRPr="006E6D52" w:rsidRDefault="007631D7" w:rsidP="007631D7">
      <w:pPr>
        <w:jc w:val="center"/>
        <w:rPr>
          <w:rFonts w:ascii="Arial" w:hAnsi="Arial" w:cs="Arial"/>
          <w:sz w:val="22"/>
          <w:szCs w:val="22"/>
          <w:lang w:val="es-ES"/>
        </w:rPr>
      </w:pPr>
      <w:r w:rsidRPr="006E6D52">
        <w:rPr>
          <w:rFonts w:ascii="Arial" w:hAnsi="Arial" w:cs="Arial"/>
          <w:sz w:val="22"/>
          <w:szCs w:val="22"/>
          <w:lang w:val="es-ES"/>
        </w:rPr>
        <w:t>(del CMS/</w:t>
      </w:r>
      <w:proofErr w:type="spellStart"/>
      <w:r w:rsidRPr="006E6D52">
        <w:rPr>
          <w:rFonts w:ascii="Arial" w:hAnsi="Arial" w:cs="Arial"/>
          <w:sz w:val="22"/>
          <w:szCs w:val="22"/>
          <w:lang w:val="es-ES"/>
        </w:rPr>
        <w:t>Sharks</w:t>
      </w:r>
      <w:proofErr w:type="spellEnd"/>
      <w:r w:rsidRPr="006E6D52">
        <w:rPr>
          <w:rFonts w:ascii="Arial" w:hAnsi="Arial" w:cs="Arial"/>
          <w:sz w:val="22"/>
          <w:szCs w:val="22"/>
          <w:lang w:val="es-ES"/>
        </w:rPr>
        <w:t>/MOS3/</w:t>
      </w:r>
      <w:r w:rsidRPr="008E7CA4">
        <w:rPr>
          <w:rFonts w:ascii="Arial" w:hAnsi="Arial" w:cs="Arial"/>
          <w:sz w:val="22"/>
          <w:szCs w:val="22"/>
          <w:lang w:val="es-ES"/>
        </w:rPr>
        <w:t>Doc.9.1/Rev.1/Anexo</w:t>
      </w:r>
      <w:r w:rsidR="008E7CA4" w:rsidRPr="008E7CA4">
        <w:rPr>
          <w:rFonts w:ascii="Arial" w:hAnsi="Arial" w:cs="Arial"/>
          <w:sz w:val="22"/>
          <w:szCs w:val="22"/>
          <w:lang w:val="es-ES"/>
        </w:rPr>
        <w:t>3</w:t>
      </w:r>
      <w:r w:rsidRPr="008E7CA4">
        <w:rPr>
          <w:rFonts w:ascii="Arial" w:hAnsi="Arial" w:cs="Arial"/>
          <w:sz w:val="22"/>
          <w:szCs w:val="22"/>
          <w:lang w:val="es-ES"/>
        </w:rPr>
        <w:t>)</w:t>
      </w:r>
    </w:p>
    <w:p w:rsidR="00766125" w:rsidRPr="006E6D52" w:rsidRDefault="00766125" w:rsidP="00B25614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8E7CA4" w:rsidRPr="008E7CA4" w:rsidRDefault="008E7CA4" w:rsidP="008E7CA4">
      <w:pPr>
        <w:jc w:val="center"/>
        <w:rPr>
          <w:rFonts w:ascii="Arial" w:eastAsia="Arial" w:hAnsi="Arial" w:cs="Arial"/>
          <w:b/>
          <w:bCs/>
          <w:color w:val="000000"/>
          <w:sz w:val="22"/>
          <w:szCs w:val="22"/>
          <w:lang w:val="es-ES" w:eastAsia="ar-SA"/>
        </w:rPr>
      </w:pPr>
      <w:r w:rsidRPr="008E7CA4">
        <w:rPr>
          <w:rFonts w:ascii="Arial" w:eastAsia="Arial" w:hAnsi="Arial" w:cs="Arial"/>
          <w:b/>
          <w:bCs/>
          <w:color w:val="000000"/>
          <w:sz w:val="22"/>
          <w:szCs w:val="22"/>
          <w:lang w:val="es-ES" w:eastAsia="ar-SA"/>
        </w:rPr>
        <w:t xml:space="preserve">MODIFICACIÓN DE LA LISTA DE ESPECIES (ANEXO 1) DEL </w:t>
      </w:r>
      <w:proofErr w:type="spellStart"/>
      <w:r w:rsidRPr="008E7CA4">
        <w:rPr>
          <w:rFonts w:ascii="Arial" w:eastAsia="Arial" w:hAnsi="Arial" w:cs="Arial"/>
          <w:b/>
          <w:bCs/>
          <w:color w:val="000000"/>
          <w:sz w:val="22"/>
          <w:szCs w:val="22"/>
          <w:lang w:val="es-ES" w:eastAsia="ar-SA"/>
        </w:rPr>
        <w:t>MdE</w:t>
      </w:r>
      <w:proofErr w:type="spellEnd"/>
    </w:p>
    <w:p w:rsidR="008E7CA4" w:rsidRPr="008E7CA4" w:rsidRDefault="008E7CA4" w:rsidP="008E7CA4">
      <w:pPr>
        <w:suppressAutoHyphens/>
        <w:autoSpaceDN/>
        <w:adjustRightInd/>
        <w:jc w:val="center"/>
        <w:rPr>
          <w:rFonts w:ascii="Arial" w:eastAsia="Arial" w:hAnsi="Arial" w:cs="Arial"/>
          <w:sz w:val="22"/>
          <w:szCs w:val="22"/>
          <w:lang w:val="es-ES" w:eastAsia="ar-SA"/>
        </w:rPr>
      </w:pPr>
    </w:p>
    <w:p w:rsidR="008E7CA4" w:rsidRPr="008E7CA4" w:rsidRDefault="008E7CA4" w:rsidP="008E7CA4">
      <w:pPr>
        <w:suppressAutoHyphens/>
        <w:autoSpaceDN/>
        <w:adjustRightInd/>
        <w:rPr>
          <w:rFonts w:ascii="Arial" w:eastAsia="Arial" w:hAnsi="Arial" w:cs="Arial"/>
          <w:sz w:val="22"/>
          <w:szCs w:val="22"/>
          <w:lang w:val="es-ES" w:eastAsia="ar-SA"/>
        </w:rPr>
      </w:pPr>
    </w:p>
    <w:p w:rsidR="008E7CA4" w:rsidRPr="008E7CA4" w:rsidRDefault="008E7CA4" w:rsidP="008E7CA4">
      <w:pPr>
        <w:suppressAutoHyphens/>
        <w:autoSpaceDN/>
        <w:adjustRightInd/>
        <w:rPr>
          <w:rFonts w:ascii="Arial" w:eastAsia="Arial" w:hAnsi="Arial" w:cs="Arial"/>
          <w:b/>
          <w:bCs/>
          <w:sz w:val="22"/>
          <w:szCs w:val="22"/>
          <w:lang w:val="en-GB" w:eastAsia="ar-SA"/>
        </w:rPr>
      </w:pPr>
      <w:proofErr w:type="spellStart"/>
      <w:r w:rsidRPr="008E7CA4">
        <w:rPr>
          <w:rFonts w:ascii="Arial" w:eastAsia="Arial" w:hAnsi="Arial" w:cs="Arial"/>
          <w:b/>
          <w:bCs/>
          <w:sz w:val="22"/>
          <w:szCs w:val="22"/>
          <w:lang w:val="en-GB" w:eastAsia="ar-SA"/>
        </w:rPr>
        <w:t>Antecedentes</w:t>
      </w:r>
      <w:proofErr w:type="spellEnd"/>
      <w:r w:rsidRPr="008E7CA4">
        <w:rPr>
          <w:rFonts w:ascii="Arial" w:eastAsia="Arial" w:hAnsi="Arial" w:cs="Arial"/>
          <w:b/>
          <w:bCs/>
          <w:sz w:val="22"/>
          <w:szCs w:val="22"/>
          <w:lang w:val="en-GB" w:eastAsia="ar-SA"/>
        </w:rPr>
        <w:t xml:space="preserve">: </w:t>
      </w:r>
    </w:p>
    <w:p w:rsidR="008E7CA4" w:rsidRPr="008E7CA4" w:rsidRDefault="008E7CA4" w:rsidP="008E7CA4">
      <w:pPr>
        <w:suppressAutoHyphens/>
        <w:autoSpaceDN/>
        <w:adjustRightInd/>
        <w:rPr>
          <w:rFonts w:ascii="Arial" w:eastAsia="Arial" w:hAnsi="Arial" w:cs="Arial"/>
          <w:sz w:val="22"/>
          <w:szCs w:val="22"/>
          <w:lang w:val="en-GB" w:eastAsia="ar-SA"/>
        </w:rPr>
      </w:pPr>
    </w:p>
    <w:p w:rsidR="008E7CA4" w:rsidRPr="008E7CA4" w:rsidRDefault="008E7CA4" w:rsidP="008E7CA4">
      <w:pPr>
        <w:numPr>
          <w:ilvl w:val="0"/>
          <w:numId w:val="4"/>
        </w:numPr>
        <w:suppressAutoHyphens/>
        <w:autoSpaceDN/>
        <w:adjustRightInd/>
        <w:ind w:left="540" w:hanging="540"/>
        <w:jc w:val="both"/>
        <w:rPr>
          <w:rFonts w:ascii="Arial" w:eastAsia="Arial" w:hAnsi="Arial" w:cs="Arial"/>
          <w:sz w:val="22"/>
          <w:szCs w:val="22"/>
          <w:lang w:val="es-ES" w:eastAsia="ar-SA"/>
        </w:rPr>
      </w:pPr>
      <w:r w:rsidRPr="008E7CA4">
        <w:rPr>
          <w:rFonts w:ascii="Arial" w:eastAsia="Arial" w:hAnsi="Arial" w:cs="Arial"/>
          <w:sz w:val="22"/>
          <w:szCs w:val="22"/>
          <w:lang w:val="es-ES" w:eastAsia="ar-SA"/>
        </w:rPr>
        <w:t xml:space="preserve">Según el párrafo 2 del Memorando de Entendimiento sobre la Conservación de Tiburones Migratorios, el </w:t>
      </w:r>
      <w:proofErr w:type="spellStart"/>
      <w:r w:rsidRPr="008E7CA4">
        <w:rPr>
          <w:rFonts w:ascii="Arial" w:eastAsia="Arial" w:hAnsi="Arial" w:cs="Arial"/>
          <w:sz w:val="22"/>
          <w:szCs w:val="22"/>
          <w:lang w:val="es-ES" w:eastAsia="ar-SA"/>
        </w:rPr>
        <w:t>MdE</w:t>
      </w:r>
      <w:proofErr w:type="spellEnd"/>
      <w:r w:rsidRPr="008E7CA4">
        <w:rPr>
          <w:rFonts w:ascii="Arial" w:eastAsia="Arial" w:hAnsi="Arial" w:cs="Arial"/>
          <w:sz w:val="22"/>
          <w:szCs w:val="22"/>
          <w:lang w:val="es-ES" w:eastAsia="ar-SA"/>
        </w:rPr>
        <w:t xml:space="preserve"> está destinado a aplicarse a todas las especies migratorias de tiburones incluidas en el Anexo 1 de este Memorando de Entendimiento</w:t>
      </w:r>
      <w:r w:rsidR="007A676A">
        <w:rPr>
          <w:rFonts w:ascii="Arial" w:eastAsia="Arial" w:hAnsi="Arial" w:cs="Arial"/>
          <w:sz w:val="22"/>
          <w:szCs w:val="22"/>
          <w:lang w:val="es-ES" w:eastAsia="ar-SA"/>
        </w:rPr>
        <w:t>.</w:t>
      </w:r>
    </w:p>
    <w:p w:rsidR="008E7CA4" w:rsidRPr="008E7CA4" w:rsidRDefault="008E7CA4" w:rsidP="008E7CA4">
      <w:pPr>
        <w:suppressAutoHyphens/>
        <w:autoSpaceDN/>
        <w:adjustRightInd/>
        <w:ind w:left="540" w:hanging="540"/>
        <w:jc w:val="both"/>
        <w:rPr>
          <w:rFonts w:ascii="Arial" w:eastAsia="Arial" w:hAnsi="Arial" w:cs="Arial"/>
          <w:sz w:val="22"/>
          <w:szCs w:val="22"/>
          <w:lang w:val="es-ES" w:eastAsia="ar-SA"/>
        </w:rPr>
      </w:pPr>
    </w:p>
    <w:p w:rsidR="008E7CA4" w:rsidRPr="008E7CA4" w:rsidRDefault="008E7CA4" w:rsidP="008E7CA4">
      <w:pPr>
        <w:numPr>
          <w:ilvl w:val="0"/>
          <w:numId w:val="4"/>
        </w:numPr>
        <w:suppressAutoHyphens/>
        <w:autoSpaceDN/>
        <w:adjustRightInd/>
        <w:ind w:left="540" w:hanging="540"/>
        <w:jc w:val="both"/>
        <w:rPr>
          <w:rFonts w:ascii="Arial" w:eastAsia="Arial" w:hAnsi="Arial" w:cs="Arial"/>
          <w:sz w:val="22"/>
          <w:szCs w:val="22"/>
          <w:lang w:val="es-ES" w:eastAsia="ar-SA"/>
        </w:rPr>
      </w:pPr>
      <w:r w:rsidRPr="008E7CA4">
        <w:rPr>
          <w:rFonts w:ascii="Arial" w:eastAsia="Arial" w:hAnsi="Arial" w:cs="Arial"/>
          <w:sz w:val="22"/>
          <w:szCs w:val="22"/>
          <w:lang w:val="es-ES" w:eastAsia="ar-SA"/>
        </w:rPr>
        <w:t xml:space="preserve">Además, en el párrafo 3p del Memorando de Entendimiento, los tiburones se definen como "cualquier especie, subespecie o población migratoria de la clase </w:t>
      </w:r>
      <w:proofErr w:type="spellStart"/>
      <w:r w:rsidRPr="008E7CA4">
        <w:rPr>
          <w:rFonts w:ascii="Arial" w:eastAsia="Arial" w:hAnsi="Arial" w:cs="Arial"/>
          <w:sz w:val="22"/>
          <w:szCs w:val="22"/>
          <w:lang w:val="es-ES" w:eastAsia="ar-SA"/>
        </w:rPr>
        <w:t>Chondrichthyes</w:t>
      </w:r>
      <w:proofErr w:type="spellEnd"/>
      <w:r w:rsidRPr="008E7CA4">
        <w:rPr>
          <w:rFonts w:ascii="Arial" w:eastAsia="Arial" w:hAnsi="Arial" w:cs="Arial"/>
          <w:sz w:val="22"/>
          <w:szCs w:val="22"/>
          <w:lang w:val="es-ES" w:eastAsia="ar-SA"/>
        </w:rPr>
        <w:t xml:space="preserve"> (que incluye a tiburones, rayas, mantas y quimeras) que estén incluidas en el Anexo 1 del presente Memorando de Entendimiento".</w:t>
      </w:r>
    </w:p>
    <w:p w:rsidR="008E7CA4" w:rsidRPr="008E7CA4" w:rsidRDefault="008E7CA4" w:rsidP="008E7CA4">
      <w:pPr>
        <w:ind w:left="540" w:hanging="540"/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:rsidR="008E7CA4" w:rsidRPr="008E7CA4" w:rsidRDefault="008E7CA4" w:rsidP="008E7CA4">
      <w:pPr>
        <w:numPr>
          <w:ilvl w:val="0"/>
          <w:numId w:val="4"/>
        </w:numPr>
        <w:ind w:left="540" w:hanging="540"/>
        <w:contextualSpacing/>
        <w:jc w:val="both"/>
        <w:rPr>
          <w:rFonts w:ascii="Arial" w:eastAsia="Arial" w:hAnsi="Arial" w:cs="Arial"/>
          <w:sz w:val="22"/>
          <w:szCs w:val="22"/>
          <w:lang w:val="es-ES" w:eastAsia="ar-SA"/>
        </w:rPr>
      </w:pPr>
      <w:r w:rsidRPr="008E7CA4">
        <w:rPr>
          <w:rFonts w:ascii="Arial" w:eastAsia="Arial" w:hAnsi="Arial" w:cs="Arial"/>
          <w:sz w:val="22"/>
          <w:szCs w:val="22"/>
          <w:lang w:val="es-ES" w:eastAsia="ar-SA"/>
        </w:rPr>
        <w:t xml:space="preserve">En la tercera reunión preparatoria, en que se finalizó el </w:t>
      </w:r>
      <w:proofErr w:type="spellStart"/>
      <w:r w:rsidRPr="008E7CA4">
        <w:rPr>
          <w:rFonts w:ascii="Arial" w:eastAsia="Arial" w:hAnsi="Arial" w:cs="Arial"/>
          <w:sz w:val="22"/>
          <w:szCs w:val="22"/>
          <w:lang w:val="es-ES" w:eastAsia="ar-SA"/>
        </w:rPr>
        <w:t>MdE</w:t>
      </w:r>
      <w:proofErr w:type="spellEnd"/>
      <w:r w:rsidRPr="008E7CA4">
        <w:rPr>
          <w:rFonts w:ascii="Arial" w:eastAsia="Arial" w:hAnsi="Arial" w:cs="Arial"/>
          <w:sz w:val="22"/>
          <w:szCs w:val="22"/>
          <w:lang w:val="es-ES" w:eastAsia="ar-SA"/>
        </w:rPr>
        <w:t xml:space="preserve"> (Manila, marzo de 2010), los participantes concluyeron que no debería establecerse ninguna lista automática de esas especies ya incluidas en el Apéndice I o II de la Convención debería tener lugar, por el hecho de que los Signatarios del </w:t>
      </w:r>
      <w:proofErr w:type="spellStart"/>
      <w:r w:rsidRPr="008E7CA4">
        <w:rPr>
          <w:rFonts w:ascii="Arial" w:eastAsia="Arial" w:hAnsi="Arial" w:cs="Arial"/>
          <w:sz w:val="22"/>
          <w:szCs w:val="22"/>
          <w:lang w:val="es-ES" w:eastAsia="ar-SA"/>
        </w:rPr>
        <w:t>MdE</w:t>
      </w:r>
      <w:proofErr w:type="spellEnd"/>
      <w:r w:rsidRPr="008E7CA4">
        <w:rPr>
          <w:rFonts w:ascii="Arial" w:eastAsia="Arial" w:hAnsi="Arial" w:cs="Arial"/>
          <w:sz w:val="22"/>
          <w:szCs w:val="22"/>
          <w:lang w:val="es-ES" w:eastAsia="ar-SA"/>
        </w:rPr>
        <w:t xml:space="preserve"> no son necesariamente Partes en la Convención.</w:t>
      </w:r>
    </w:p>
    <w:p w:rsidR="008E7CA4" w:rsidRPr="008E7CA4" w:rsidRDefault="008E7CA4" w:rsidP="008E7CA4">
      <w:pPr>
        <w:ind w:left="540" w:hanging="540"/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:rsidR="008E7CA4" w:rsidRPr="008E7CA4" w:rsidRDefault="008E7CA4" w:rsidP="008E7CA4">
      <w:pPr>
        <w:numPr>
          <w:ilvl w:val="0"/>
          <w:numId w:val="4"/>
        </w:numPr>
        <w:ind w:left="540" w:hanging="54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8E7CA4">
        <w:rPr>
          <w:rFonts w:ascii="Arial" w:hAnsi="Arial" w:cs="Arial"/>
          <w:sz w:val="22"/>
          <w:szCs w:val="22"/>
          <w:lang w:val="es-ES"/>
        </w:rPr>
        <w:t xml:space="preserve">En el párrafo 20 del </w:t>
      </w:r>
      <w:proofErr w:type="spellStart"/>
      <w:r w:rsidRPr="008E7CA4">
        <w:rPr>
          <w:rFonts w:ascii="Arial" w:hAnsi="Arial" w:cs="Arial"/>
          <w:sz w:val="22"/>
          <w:szCs w:val="22"/>
          <w:lang w:val="es-ES"/>
        </w:rPr>
        <w:t>MdE</w:t>
      </w:r>
      <w:proofErr w:type="spellEnd"/>
      <w:r w:rsidRPr="008E7CA4">
        <w:rPr>
          <w:rFonts w:ascii="Arial" w:hAnsi="Arial" w:cs="Arial"/>
          <w:sz w:val="22"/>
          <w:szCs w:val="22"/>
          <w:lang w:val="es-ES"/>
        </w:rPr>
        <w:t xml:space="preserve"> se especifica que toda enmienda propuesta al Anexo 1 debería ser evaluada por los Signatarios en cada reunión de Signatarios. En el párrafo 33 se establece que las modificaciones deberán realizarse por consenso</w:t>
      </w:r>
      <w:r w:rsidR="007A676A">
        <w:rPr>
          <w:rFonts w:ascii="Arial" w:hAnsi="Arial" w:cs="Arial"/>
          <w:sz w:val="22"/>
          <w:szCs w:val="22"/>
          <w:lang w:val="es-ES"/>
        </w:rPr>
        <w:t>.</w:t>
      </w:r>
    </w:p>
    <w:p w:rsidR="008E7CA4" w:rsidRPr="008E7CA4" w:rsidRDefault="008E7CA4" w:rsidP="008E7CA4">
      <w:pPr>
        <w:ind w:left="540" w:hanging="540"/>
        <w:contextualSpacing/>
        <w:rPr>
          <w:rFonts w:ascii="Arial" w:hAnsi="Arial" w:cs="Arial"/>
          <w:sz w:val="22"/>
          <w:szCs w:val="22"/>
          <w:lang w:val="fr-FR"/>
        </w:rPr>
      </w:pPr>
    </w:p>
    <w:p w:rsidR="008E7CA4" w:rsidRPr="008E7CA4" w:rsidRDefault="008E7CA4" w:rsidP="008E7CA4">
      <w:pPr>
        <w:suppressAutoHyphens/>
        <w:autoSpaceDN/>
        <w:adjustRightInd/>
        <w:ind w:left="540" w:hanging="540"/>
        <w:rPr>
          <w:rFonts w:ascii="Arial" w:eastAsia="Arial" w:hAnsi="Arial" w:cs="Arial"/>
          <w:b/>
          <w:bCs/>
          <w:sz w:val="22"/>
          <w:szCs w:val="22"/>
          <w:lang w:val="es-ES" w:eastAsia="ar-SA"/>
        </w:rPr>
      </w:pPr>
      <w:r w:rsidRPr="008E7CA4">
        <w:rPr>
          <w:rFonts w:ascii="Arial" w:eastAsia="Arial" w:hAnsi="Arial" w:cs="Arial"/>
          <w:b/>
          <w:bCs/>
          <w:sz w:val="22"/>
          <w:szCs w:val="22"/>
          <w:lang w:val="es-ES" w:eastAsia="ar-SA"/>
        </w:rPr>
        <w:t xml:space="preserve">Procedimiento para modificar la lista de especies (Anexo 1) del </w:t>
      </w:r>
      <w:proofErr w:type="spellStart"/>
      <w:r w:rsidRPr="008E7CA4">
        <w:rPr>
          <w:rFonts w:ascii="Arial" w:eastAsia="Arial" w:hAnsi="Arial" w:cs="Arial"/>
          <w:b/>
          <w:bCs/>
          <w:sz w:val="22"/>
          <w:szCs w:val="22"/>
          <w:lang w:val="es-ES" w:eastAsia="ar-SA"/>
        </w:rPr>
        <w:t>MdE</w:t>
      </w:r>
      <w:proofErr w:type="spellEnd"/>
      <w:r w:rsidRPr="008E7CA4">
        <w:rPr>
          <w:rFonts w:ascii="Arial" w:eastAsia="Arial" w:hAnsi="Arial" w:cs="Arial"/>
          <w:b/>
          <w:bCs/>
          <w:sz w:val="22"/>
          <w:szCs w:val="22"/>
          <w:lang w:val="es-ES" w:eastAsia="ar-SA"/>
        </w:rPr>
        <w:t>:</w:t>
      </w:r>
    </w:p>
    <w:p w:rsidR="008E7CA4" w:rsidRPr="008E7CA4" w:rsidRDefault="008E7CA4" w:rsidP="008E7CA4">
      <w:pPr>
        <w:suppressAutoHyphens/>
        <w:autoSpaceDN/>
        <w:adjustRightInd/>
        <w:ind w:left="540" w:hanging="540"/>
        <w:rPr>
          <w:rFonts w:ascii="Arial" w:eastAsia="Arial" w:hAnsi="Arial" w:cs="Arial"/>
          <w:color w:val="000000"/>
          <w:sz w:val="22"/>
          <w:szCs w:val="22"/>
          <w:lang w:val="es-ES" w:eastAsia="ar-SA"/>
        </w:rPr>
      </w:pPr>
    </w:p>
    <w:p w:rsidR="008E7CA4" w:rsidRPr="008E7CA4" w:rsidRDefault="008E7CA4" w:rsidP="008E7CA4">
      <w:pPr>
        <w:numPr>
          <w:ilvl w:val="0"/>
          <w:numId w:val="4"/>
        </w:numPr>
        <w:suppressAutoHyphens/>
        <w:autoSpaceDN/>
        <w:adjustRightInd/>
        <w:ind w:left="540" w:hanging="540"/>
        <w:jc w:val="both"/>
        <w:rPr>
          <w:rFonts w:ascii="Arial" w:eastAsia="Arial" w:hAnsi="Arial" w:cs="Arial"/>
          <w:color w:val="000000"/>
          <w:sz w:val="22"/>
          <w:szCs w:val="22"/>
          <w:lang w:val="es-ES" w:eastAsia="ar-SA"/>
        </w:rPr>
      </w:pPr>
      <w:r w:rsidRPr="008E7CA4">
        <w:rPr>
          <w:rFonts w:ascii="Arial" w:eastAsia="Arial" w:hAnsi="Arial" w:cs="Arial"/>
          <w:color w:val="000000"/>
          <w:sz w:val="22"/>
          <w:szCs w:val="22"/>
          <w:lang w:val="es-ES" w:eastAsia="ar-SA"/>
        </w:rPr>
        <w:t>El Anexo 1 podrá modificarse por consenso en cualquier sesión de la Reunión de los Signatarios;</w:t>
      </w:r>
    </w:p>
    <w:p w:rsidR="008E7CA4" w:rsidRPr="008E7CA4" w:rsidRDefault="008E7CA4" w:rsidP="008E7CA4">
      <w:pPr>
        <w:suppressAutoHyphens/>
        <w:autoSpaceDN/>
        <w:adjustRightInd/>
        <w:ind w:left="540" w:hanging="540"/>
        <w:jc w:val="both"/>
        <w:rPr>
          <w:rFonts w:ascii="Arial" w:eastAsia="Arial" w:hAnsi="Arial" w:cs="Arial"/>
          <w:color w:val="000000"/>
          <w:sz w:val="22"/>
          <w:szCs w:val="22"/>
          <w:lang w:val="es-ES" w:eastAsia="ar-SA"/>
        </w:rPr>
      </w:pPr>
    </w:p>
    <w:p w:rsidR="008E7CA4" w:rsidRPr="008E7CA4" w:rsidRDefault="008E7CA4" w:rsidP="008E7CA4">
      <w:pPr>
        <w:numPr>
          <w:ilvl w:val="0"/>
          <w:numId w:val="4"/>
        </w:numPr>
        <w:suppressAutoHyphens/>
        <w:autoSpaceDN/>
        <w:adjustRightInd/>
        <w:ind w:left="540" w:hanging="540"/>
        <w:jc w:val="both"/>
        <w:rPr>
          <w:rFonts w:ascii="Arial" w:eastAsia="Arial" w:hAnsi="Arial" w:cs="Arial"/>
          <w:color w:val="000000"/>
          <w:sz w:val="22"/>
          <w:szCs w:val="22"/>
          <w:lang w:val="es-ES" w:eastAsia="ar-SA"/>
        </w:rPr>
      </w:pPr>
      <w:r w:rsidRPr="008E7CA4">
        <w:rPr>
          <w:rFonts w:ascii="Arial" w:eastAsia="Arial" w:hAnsi="Arial" w:cs="Arial"/>
          <w:color w:val="000000"/>
          <w:sz w:val="22"/>
          <w:szCs w:val="22"/>
          <w:lang w:val="es-ES" w:eastAsia="ar-SA"/>
        </w:rPr>
        <w:t>Las propuestas de modificación puede formularlas cualquiera de los Signatarios;</w:t>
      </w:r>
    </w:p>
    <w:p w:rsidR="008E7CA4" w:rsidRPr="008E7CA4" w:rsidRDefault="008E7CA4" w:rsidP="008E7CA4">
      <w:pPr>
        <w:suppressAutoHyphens/>
        <w:autoSpaceDN/>
        <w:adjustRightInd/>
        <w:ind w:left="540" w:hanging="540"/>
        <w:jc w:val="both"/>
        <w:rPr>
          <w:rFonts w:ascii="Arial" w:eastAsia="Arial" w:hAnsi="Arial" w:cs="Arial"/>
          <w:color w:val="000000"/>
          <w:sz w:val="22"/>
          <w:szCs w:val="22"/>
          <w:lang w:val="es-ES" w:eastAsia="ar-SA"/>
        </w:rPr>
      </w:pPr>
    </w:p>
    <w:p w:rsidR="008E7CA4" w:rsidRPr="008E7CA4" w:rsidRDefault="008E7CA4" w:rsidP="007C3608">
      <w:pPr>
        <w:numPr>
          <w:ilvl w:val="0"/>
          <w:numId w:val="4"/>
        </w:numPr>
        <w:suppressAutoHyphens/>
        <w:autoSpaceDN/>
        <w:adjustRightInd/>
        <w:spacing w:after="120"/>
        <w:ind w:left="547" w:hanging="547"/>
        <w:jc w:val="both"/>
        <w:rPr>
          <w:rFonts w:ascii="Arial" w:eastAsia="Arial" w:hAnsi="Arial" w:cs="Arial"/>
          <w:color w:val="000000"/>
          <w:sz w:val="22"/>
          <w:szCs w:val="22"/>
          <w:lang w:val="es-ES" w:eastAsia="ar-SA"/>
        </w:rPr>
      </w:pPr>
      <w:r w:rsidRPr="008E7CA4">
        <w:rPr>
          <w:rFonts w:ascii="Arial" w:eastAsia="Arial" w:hAnsi="Arial" w:cs="Arial"/>
          <w:color w:val="000000"/>
          <w:sz w:val="22"/>
          <w:szCs w:val="22"/>
          <w:lang w:val="es-ES" w:eastAsia="ar-SA"/>
        </w:rPr>
        <w:t>El proceso y el momento de presentación debe ser como sigue:</w:t>
      </w:r>
    </w:p>
    <w:p w:rsidR="008E7CA4" w:rsidRPr="008E7CA4" w:rsidRDefault="008E7CA4" w:rsidP="007C3608">
      <w:pPr>
        <w:numPr>
          <w:ilvl w:val="0"/>
          <w:numId w:val="5"/>
        </w:numPr>
        <w:suppressAutoHyphens/>
        <w:autoSpaceDN/>
        <w:adjustRightInd/>
        <w:spacing w:after="40"/>
        <w:ind w:left="907" w:hanging="360"/>
        <w:jc w:val="both"/>
        <w:rPr>
          <w:rFonts w:ascii="Arial" w:eastAsia="Arial" w:hAnsi="Arial" w:cs="Arial"/>
          <w:color w:val="000000"/>
          <w:sz w:val="22"/>
          <w:szCs w:val="22"/>
          <w:lang w:val="es-ES" w:eastAsia="ar-SA"/>
        </w:rPr>
      </w:pPr>
      <w:r w:rsidRPr="008E7CA4">
        <w:rPr>
          <w:rFonts w:ascii="Arial" w:eastAsia="Arial" w:hAnsi="Arial" w:cs="Arial"/>
          <w:color w:val="000000"/>
          <w:sz w:val="22"/>
          <w:szCs w:val="22"/>
          <w:lang w:val="es-ES" w:eastAsia="ar-SA"/>
        </w:rPr>
        <w:t xml:space="preserve">los Signatarios deberán intentar proporcionar el texto de la modificación propuesta y las razones de </w:t>
      </w:r>
      <w:proofErr w:type="gramStart"/>
      <w:r w:rsidRPr="008E7CA4">
        <w:rPr>
          <w:rFonts w:ascii="Arial" w:eastAsia="Arial" w:hAnsi="Arial" w:cs="Arial"/>
          <w:color w:val="000000"/>
          <w:sz w:val="22"/>
          <w:szCs w:val="22"/>
          <w:lang w:val="es-ES" w:eastAsia="ar-SA"/>
        </w:rPr>
        <w:t>la misma</w:t>
      </w:r>
      <w:proofErr w:type="gramEnd"/>
      <w:r w:rsidRPr="008E7CA4">
        <w:rPr>
          <w:rFonts w:ascii="Arial" w:eastAsia="Arial" w:hAnsi="Arial" w:cs="Arial"/>
          <w:color w:val="000000"/>
          <w:sz w:val="22"/>
          <w:szCs w:val="22"/>
          <w:lang w:val="es-ES" w:eastAsia="ar-SA"/>
        </w:rPr>
        <w:t>, sobre la base de los mejores datos científicos disponibles, a la Secretaría por lo men</w:t>
      </w:r>
      <w:r w:rsidR="007A676A">
        <w:rPr>
          <w:rFonts w:ascii="Arial" w:eastAsia="Arial" w:hAnsi="Arial" w:cs="Arial"/>
          <w:color w:val="000000"/>
          <w:sz w:val="22"/>
          <w:szCs w:val="22"/>
          <w:lang w:val="es-ES" w:eastAsia="ar-SA"/>
        </w:rPr>
        <w:t>os 150 días antes de la reunión;</w:t>
      </w:r>
    </w:p>
    <w:p w:rsidR="008E7CA4" w:rsidRPr="008E7CA4" w:rsidRDefault="007A676A" w:rsidP="007C3608">
      <w:pPr>
        <w:numPr>
          <w:ilvl w:val="0"/>
          <w:numId w:val="5"/>
        </w:numPr>
        <w:suppressAutoHyphens/>
        <w:autoSpaceDN/>
        <w:adjustRightInd/>
        <w:spacing w:after="40"/>
        <w:ind w:left="907" w:hanging="360"/>
        <w:jc w:val="both"/>
        <w:rPr>
          <w:rFonts w:ascii="Arial" w:eastAsia="Arial" w:hAnsi="Arial" w:cs="Arial"/>
          <w:color w:val="000000"/>
          <w:sz w:val="22"/>
          <w:szCs w:val="22"/>
          <w:lang w:val="es-ES" w:eastAsia="ar-SA"/>
        </w:rPr>
      </w:pPr>
      <w:r>
        <w:rPr>
          <w:rFonts w:ascii="Arial" w:eastAsia="Arial" w:hAnsi="Arial" w:cs="Arial"/>
          <w:color w:val="000000"/>
          <w:sz w:val="22"/>
          <w:szCs w:val="22"/>
          <w:lang w:val="es-ES" w:eastAsia="ar-SA"/>
        </w:rPr>
        <w:t>s</w:t>
      </w:r>
      <w:r w:rsidR="008E7CA4" w:rsidRPr="008E7CA4">
        <w:rPr>
          <w:rFonts w:ascii="Arial" w:eastAsia="Arial" w:hAnsi="Arial" w:cs="Arial"/>
          <w:color w:val="000000"/>
          <w:sz w:val="22"/>
          <w:szCs w:val="22"/>
          <w:lang w:val="es-ES" w:eastAsia="ar-SA"/>
        </w:rPr>
        <w:t>e espera que la Secretaría comunique la propuesta sin demora a todos los</w:t>
      </w:r>
      <w:r>
        <w:rPr>
          <w:rFonts w:ascii="Arial" w:eastAsia="Arial" w:hAnsi="Arial" w:cs="Arial"/>
          <w:color w:val="000000"/>
          <w:sz w:val="22"/>
          <w:szCs w:val="22"/>
          <w:lang w:val="es-ES" w:eastAsia="ar-SA"/>
        </w:rPr>
        <w:t xml:space="preserve"> Signatarios y al Comité Asesor;</w:t>
      </w:r>
    </w:p>
    <w:p w:rsidR="008E7CA4" w:rsidRPr="008E7CA4" w:rsidRDefault="007A676A" w:rsidP="007C3608">
      <w:pPr>
        <w:numPr>
          <w:ilvl w:val="0"/>
          <w:numId w:val="5"/>
        </w:numPr>
        <w:suppressAutoHyphens/>
        <w:autoSpaceDN/>
        <w:adjustRightInd/>
        <w:spacing w:after="40"/>
        <w:ind w:left="907" w:hanging="360"/>
        <w:jc w:val="both"/>
        <w:rPr>
          <w:rFonts w:ascii="Arial" w:eastAsia="Arial" w:hAnsi="Arial" w:cs="Arial"/>
          <w:color w:val="000000"/>
          <w:sz w:val="22"/>
          <w:szCs w:val="22"/>
          <w:lang w:val="es-ES" w:eastAsia="ar-SA"/>
        </w:rPr>
      </w:pPr>
      <w:r>
        <w:rPr>
          <w:rFonts w:ascii="Arial" w:eastAsia="Arial" w:hAnsi="Arial" w:cs="Arial"/>
          <w:color w:val="000000"/>
          <w:sz w:val="22"/>
          <w:szCs w:val="22"/>
          <w:lang w:val="es-ES" w:eastAsia="ar-SA"/>
        </w:rPr>
        <w:t>l</w:t>
      </w:r>
      <w:r w:rsidR="008E7CA4" w:rsidRPr="008E7CA4">
        <w:rPr>
          <w:rFonts w:ascii="Arial" w:eastAsia="Arial" w:hAnsi="Arial" w:cs="Arial"/>
          <w:color w:val="000000"/>
          <w:sz w:val="22"/>
          <w:szCs w:val="22"/>
          <w:lang w:val="es-ES" w:eastAsia="ar-SA"/>
        </w:rPr>
        <w:t>os Signatarios deberán intentar proporcionar comentarios sobre el texto a la</w:t>
      </w:r>
      <w:r w:rsidR="008E7CA4" w:rsidRPr="008E7CA4">
        <w:rPr>
          <w:rFonts w:ascii="Helvetica" w:eastAsia="Arial" w:hAnsi="Helvetica" w:cs="Helvetica"/>
          <w:color w:val="000000"/>
          <w:sz w:val="24"/>
          <w:lang w:val="es-ES" w:eastAsia="ar-SA"/>
        </w:rPr>
        <w:t xml:space="preserve"> </w:t>
      </w:r>
      <w:r w:rsidR="008E7CA4" w:rsidRPr="008E7CA4">
        <w:rPr>
          <w:rFonts w:ascii="Arial" w:eastAsia="Arial" w:hAnsi="Arial" w:cs="Arial"/>
          <w:color w:val="000000"/>
          <w:sz w:val="22"/>
          <w:szCs w:val="22"/>
          <w:lang w:val="es-ES" w:eastAsia="ar-SA"/>
        </w:rPr>
        <w:t>Secretaría por lo menos 60 días a</w:t>
      </w:r>
      <w:r>
        <w:rPr>
          <w:rFonts w:ascii="Arial" w:eastAsia="Arial" w:hAnsi="Arial" w:cs="Arial"/>
          <w:color w:val="000000"/>
          <w:sz w:val="22"/>
          <w:szCs w:val="22"/>
          <w:lang w:val="es-ES" w:eastAsia="ar-SA"/>
        </w:rPr>
        <w:t>ntes de que comience la reunión;</w:t>
      </w:r>
    </w:p>
    <w:p w:rsidR="008E7CA4" w:rsidRPr="008E7CA4" w:rsidRDefault="007A676A" w:rsidP="007C3608">
      <w:pPr>
        <w:numPr>
          <w:ilvl w:val="0"/>
          <w:numId w:val="5"/>
        </w:numPr>
        <w:suppressAutoHyphens/>
        <w:autoSpaceDN/>
        <w:adjustRightInd/>
        <w:spacing w:after="40"/>
        <w:ind w:left="907" w:hanging="360"/>
        <w:jc w:val="both"/>
        <w:rPr>
          <w:rFonts w:ascii="Arial" w:eastAsia="Arial" w:hAnsi="Arial" w:cs="Arial"/>
          <w:color w:val="000000"/>
          <w:sz w:val="22"/>
          <w:szCs w:val="22"/>
          <w:lang w:val="es-ES" w:eastAsia="ar-SA"/>
        </w:rPr>
      </w:pPr>
      <w:r>
        <w:rPr>
          <w:rFonts w:ascii="Arial" w:eastAsia="Arial" w:hAnsi="Arial" w:cs="Arial"/>
          <w:color w:val="000000"/>
          <w:sz w:val="22"/>
          <w:szCs w:val="22"/>
          <w:lang w:val="es-ES" w:eastAsia="ar-SA"/>
        </w:rPr>
        <w:t>s</w:t>
      </w:r>
      <w:r w:rsidR="008E7CA4" w:rsidRPr="008E7CA4">
        <w:rPr>
          <w:rFonts w:ascii="Arial" w:eastAsia="Arial" w:hAnsi="Arial" w:cs="Arial"/>
          <w:color w:val="000000"/>
          <w:sz w:val="22"/>
          <w:szCs w:val="22"/>
          <w:lang w:val="es-ES" w:eastAsia="ar-SA"/>
        </w:rPr>
        <w:t xml:space="preserve">e espera que la Secretaría comunique dichos comentarios a los Signatarios tan pronto </w:t>
      </w:r>
      <w:r w:rsidR="008E7CA4" w:rsidRPr="008E7CA4">
        <w:rPr>
          <w:rFonts w:ascii="Arial" w:eastAsia="Arial" w:hAnsi="Arial" w:cs="Arial"/>
          <w:color w:val="000000"/>
          <w:sz w:val="22"/>
          <w:szCs w:val="22"/>
          <w:lang w:val="es-ES" w:eastAsia="ar-SA"/>
        </w:rPr>
        <w:lastRenderedPageBreak/>
        <w:t>come se</w:t>
      </w:r>
      <w:r>
        <w:rPr>
          <w:rFonts w:ascii="Arial" w:eastAsia="Arial" w:hAnsi="Arial" w:cs="Arial"/>
          <w:color w:val="000000"/>
          <w:sz w:val="22"/>
          <w:szCs w:val="22"/>
          <w:lang w:val="es-ES" w:eastAsia="ar-SA"/>
        </w:rPr>
        <w:t>a posible después de recibirlos;</w:t>
      </w:r>
    </w:p>
    <w:p w:rsidR="008E7CA4" w:rsidRPr="008E7CA4" w:rsidRDefault="007A676A" w:rsidP="008E7CA4">
      <w:pPr>
        <w:numPr>
          <w:ilvl w:val="0"/>
          <w:numId w:val="5"/>
        </w:numPr>
        <w:suppressAutoHyphens/>
        <w:autoSpaceDN/>
        <w:adjustRightInd/>
        <w:ind w:left="900" w:hanging="360"/>
        <w:jc w:val="both"/>
        <w:rPr>
          <w:rFonts w:ascii="Arial" w:eastAsia="Arial" w:hAnsi="Arial" w:cs="Arial"/>
          <w:color w:val="000000"/>
          <w:sz w:val="22"/>
          <w:szCs w:val="22"/>
          <w:lang w:val="es-ES" w:eastAsia="ar-SA"/>
        </w:rPr>
      </w:pPr>
      <w:r>
        <w:rPr>
          <w:rFonts w:ascii="Arial" w:eastAsia="Arial" w:hAnsi="Arial" w:cs="Arial"/>
          <w:color w:val="000000"/>
          <w:sz w:val="22"/>
          <w:szCs w:val="22"/>
          <w:lang w:val="es-ES" w:eastAsia="ar-SA"/>
        </w:rPr>
        <w:t>l</w:t>
      </w:r>
      <w:r w:rsidR="008E7CA4" w:rsidRPr="008E7CA4">
        <w:rPr>
          <w:rFonts w:ascii="Arial" w:eastAsia="Arial" w:hAnsi="Arial" w:cs="Arial"/>
          <w:color w:val="000000"/>
          <w:sz w:val="22"/>
          <w:szCs w:val="22"/>
          <w:lang w:val="es-ES" w:eastAsia="ar-SA"/>
        </w:rPr>
        <w:t>os Signatarios tienen derecho a rechazar la consideración de cualquier modificación propuesta que sea presentada a la Secretaría después de las fechas límites descritas en este párrafo.</w:t>
      </w:r>
    </w:p>
    <w:p w:rsidR="008E7CA4" w:rsidRPr="008E7CA4" w:rsidRDefault="008E7CA4" w:rsidP="008E7CA4">
      <w:pPr>
        <w:suppressAutoHyphens/>
        <w:autoSpaceDN/>
        <w:adjustRightInd/>
        <w:jc w:val="both"/>
        <w:rPr>
          <w:rFonts w:ascii="Arial" w:eastAsia="Arial" w:hAnsi="Arial" w:cs="Arial"/>
          <w:color w:val="000000"/>
          <w:sz w:val="22"/>
          <w:szCs w:val="22"/>
          <w:lang w:val="es-ES" w:eastAsia="ar-SA"/>
        </w:rPr>
      </w:pPr>
    </w:p>
    <w:p w:rsidR="008E7CA4" w:rsidRPr="008E7CA4" w:rsidRDefault="008E7CA4" w:rsidP="008E7CA4">
      <w:pPr>
        <w:widowControl/>
        <w:numPr>
          <w:ilvl w:val="0"/>
          <w:numId w:val="4"/>
        </w:numPr>
        <w:suppressAutoHyphens/>
        <w:autoSpaceDE/>
        <w:autoSpaceDN/>
        <w:adjustRightInd/>
        <w:spacing w:after="160" w:line="259" w:lineRule="auto"/>
        <w:ind w:left="540" w:hanging="540"/>
        <w:jc w:val="both"/>
        <w:rPr>
          <w:rFonts w:ascii="Helvetica" w:eastAsia="Arial" w:hAnsi="Helvetica" w:cs="Arial"/>
          <w:color w:val="000000"/>
          <w:sz w:val="22"/>
          <w:szCs w:val="22"/>
          <w:lang w:val="es-ES" w:eastAsia="ar-SA"/>
        </w:rPr>
      </w:pPr>
      <w:r w:rsidRPr="008E7CA4">
        <w:rPr>
          <w:rFonts w:ascii="Arial" w:eastAsia="Arial" w:hAnsi="Arial" w:cs="Arial"/>
          <w:color w:val="000000"/>
          <w:sz w:val="22"/>
          <w:szCs w:val="22"/>
          <w:lang w:val="es-ES" w:eastAsia="ar-SA"/>
        </w:rPr>
        <w:t xml:space="preserve">Las modificaciones deben hacerse por consenso, como consta </w:t>
      </w:r>
      <w:r w:rsidR="007A676A">
        <w:rPr>
          <w:rFonts w:ascii="Arial" w:eastAsia="Arial" w:hAnsi="Arial" w:cs="Arial"/>
          <w:color w:val="000000"/>
          <w:sz w:val="22"/>
          <w:szCs w:val="22"/>
          <w:lang w:val="es-ES" w:eastAsia="ar-SA"/>
        </w:rPr>
        <w:t xml:space="preserve">en los párrafos 18 y 33 del </w:t>
      </w:r>
      <w:proofErr w:type="spellStart"/>
      <w:r w:rsidR="007A676A">
        <w:rPr>
          <w:rFonts w:ascii="Arial" w:eastAsia="Arial" w:hAnsi="Arial" w:cs="Arial"/>
          <w:color w:val="000000"/>
          <w:sz w:val="22"/>
          <w:szCs w:val="22"/>
          <w:lang w:val="es-ES" w:eastAsia="ar-SA"/>
        </w:rPr>
        <w:t>MdE</w:t>
      </w:r>
      <w:proofErr w:type="spellEnd"/>
      <w:r w:rsidR="007A676A">
        <w:rPr>
          <w:rFonts w:ascii="Arial" w:eastAsia="Arial" w:hAnsi="Arial" w:cs="Arial"/>
          <w:color w:val="000000"/>
          <w:sz w:val="22"/>
          <w:szCs w:val="22"/>
          <w:lang w:val="es-ES" w:eastAsia="ar-SA"/>
        </w:rPr>
        <w:t>.</w:t>
      </w:r>
    </w:p>
    <w:p w:rsidR="008E7CA4" w:rsidRPr="008E7CA4" w:rsidRDefault="008E7CA4" w:rsidP="008E7CA4">
      <w:pPr>
        <w:numPr>
          <w:ilvl w:val="0"/>
          <w:numId w:val="4"/>
        </w:numPr>
        <w:tabs>
          <w:tab w:val="left" w:pos="540"/>
        </w:tabs>
        <w:suppressAutoHyphens/>
        <w:autoSpaceDN/>
        <w:adjustRightInd/>
        <w:ind w:left="540" w:hanging="540"/>
        <w:jc w:val="both"/>
        <w:rPr>
          <w:rFonts w:ascii="Arial" w:eastAsia="Arial" w:hAnsi="Arial" w:cs="Arial"/>
          <w:color w:val="000000"/>
          <w:sz w:val="22"/>
          <w:szCs w:val="22"/>
          <w:lang w:val="es-ES" w:eastAsia="ar-SA"/>
        </w:rPr>
      </w:pPr>
      <w:r w:rsidRPr="008E7CA4">
        <w:rPr>
          <w:rFonts w:ascii="Arial" w:eastAsia="Arial" w:hAnsi="Arial" w:cs="Arial"/>
          <w:color w:val="000000"/>
          <w:sz w:val="22"/>
          <w:szCs w:val="22"/>
          <w:lang w:val="es-ES" w:eastAsia="ar-SA"/>
        </w:rPr>
        <w:t xml:space="preserve">Cualquiera de las especies de tiburones o rayas en los Apéndices de la CMS será automáticamente considerada por el Comité Asesor como propuesta para su inclusión en el Anexo 1 del </w:t>
      </w:r>
      <w:proofErr w:type="spellStart"/>
      <w:r w:rsidRPr="008E7CA4">
        <w:rPr>
          <w:rFonts w:ascii="Arial" w:eastAsia="Arial" w:hAnsi="Arial" w:cs="Arial"/>
          <w:color w:val="000000"/>
          <w:sz w:val="22"/>
          <w:szCs w:val="22"/>
          <w:lang w:val="es-ES" w:eastAsia="ar-SA"/>
        </w:rPr>
        <w:t>MdE</w:t>
      </w:r>
      <w:proofErr w:type="spellEnd"/>
      <w:r w:rsidRPr="008E7CA4">
        <w:rPr>
          <w:rFonts w:ascii="Arial" w:eastAsia="Arial" w:hAnsi="Arial" w:cs="Arial"/>
          <w:color w:val="000000"/>
          <w:sz w:val="22"/>
          <w:szCs w:val="22"/>
          <w:lang w:val="es-ES" w:eastAsia="ar-SA"/>
        </w:rPr>
        <w:t xml:space="preserve">. Esto es sin perjuicio de la decisión final sobre su inclusión en el </w:t>
      </w:r>
      <w:proofErr w:type="spellStart"/>
      <w:r w:rsidRPr="008E7CA4">
        <w:rPr>
          <w:rFonts w:ascii="Arial" w:eastAsia="Arial" w:hAnsi="Arial" w:cs="Arial"/>
          <w:color w:val="000000"/>
          <w:sz w:val="22"/>
          <w:szCs w:val="22"/>
          <w:lang w:val="es-ES" w:eastAsia="ar-SA"/>
        </w:rPr>
        <w:t>MdE</w:t>
      </w:r>
      <w:proofErr w:type="spellEnd"/>
      <w:r w:rsidRPr="008E7CA4">
        <w:rPr>
          <w:rFonts w:ascii="Arial" w:eastAsia="Arial" w:hAnsi="Arial" w:cs="Arial"/>
          <w:color w:val="000000"/>
          <w:sz w:val="22"/>
          <w:szCs w:val="22"/>
          <w:lang w:val="es-ES" w:eastAsia="ar-SA"/>
        </w:rPr>
        <w:t>; y</w:t>
      </w:r>
    </w:p>
    <w:p w:rsidR="008E7CA4" w:rsidRPr="008E7CA4" w:rsidRDefault="008E7CA4" w:rsidP="008E7CA4">
      <w:pPr>
        <w:tabs>
          <w:tab w:val="left" w:pos="540"/>
        </w:tabs>
        <w:suppressAutoHyphens/>
        <w:autoSpaceDN/>
        <w:adjustRightInd/>
        <w:ind w:left="540" w:hanging="540"/>
        <w:jc w:val="both"/>
        <w:rPr>
          <w:rFonts w:ascii="Arial" w:eastAsia="Arial" w:hAnsi="Arial" w:cs="Arial"/>
          <w:color w:val="000000"/>
          <w:sz w:val="22"/>
          <w:szCs w:val="22"/>
          <w:lang w:val="es-ES" w:eastAsia="ar-SA"/>
        </w:rPr>
      </w:pPr>
    </w:p>
    <w:p w:rsidR="008E7CA4" w:rsidRPr="008E7CA4" w:rsidRDefault="008E7CA4" w:rsidP="007C3608">
      <w:pPr>
        <w:numPr>
          <w:ilvl w:val="0"/>
          <w:numId w:val="4"/>
        </w:numPr>
        <w:tabs>
          <w:tab w:val="left" w:pos="540"/>
        </w:tabs>
        <w:suppressAutoHyphens/>
        <w:autoSpaceDN/>
        <w:adjustRightInd/>
        <w:spacing w:after="120"/>
        <w:ind w:left="547" w:hanging="547"/>
        <w:jc w:val="both"/>
        <w:rPr>
          <w:rFonts w:ascii="Arial" w:eastAsia="Arial" w:hAnsi="Arial" w:cs="Arial"/>
          <w:color w:val="000000"/>
          <w:sz w:val="22"/>
          <w:szCs w:val="22"/>
          <w:lang w:val="es-ES" w:eastAsia="ar-SA"/>
        </w:rPr>
      </w:pPr>
      <w:r w:rsidRPr="008E7CA4">
        <w:rPr>
          <w:rFonts w:ascii="Arial" w:eastAsia="Arial" w:hAnsi="Arial" w:cs="Arial"/>
          <w:color w:val="000000"/>
          <w:sz w:val="22"/>
          <w:szCs w:val="22"/>
          <w:lang w:val="es-ES" w:eastAsia="ar-SA"/>
        </w:rPr>
        <w:t>Si la COP de la CMS acuerda la inclusión de una nueva especie de tiburón o raya en el Apéndices I o II de la CMS deberá aplicarse el procedimiento siguiente y el Reglamento y los Términos de Referencia para el Comité Asesor deberán adaptarse respectivamente:</w:t>
      </w:r>
    </w:p>
    <w:p w:rsidR="008E7CA4" w:rsidRPr="008E7CA4" w:rsidRDefault="008E7CA4" w:rsidP="007C3608">
      <w:pPr>
        <w:numPr>
          <w:ilvl w:val="0"/>
          <w:numId w:val="7"/>
        </w:numPr>
        <w:spacing w:after="40"/>
        <w:ind w:left="907"/>
        <w:jc w:val="both"/>
        <w:rPr>
          <w:rFonts w:ascii="Arial" w:hAnsi="Arial" w:cs="Arial"/>
          <w:color w:val="000000"/>
          <w:sz w:val="22"/>
          <w:szCs w:val="22"/>
          <w:lang w:val="es-ES" w:eastAsia="en-GB"/>
        </w:rPr>
      </w:pPr>
      <w:r w:rsidRPr="008E7CA4">
        <w:rPr>
          <w:rFonts w:ascii="Arial" w:hAnsi="Arial" w:cs="Arial"/>
          <w:color w:val="000000"/>
          <w:sz w:val="22"/>
          <w:szCs w:val="22"/>
          <w:lang w:val="es-ES" w:eastAsia="en-GB"/>
        </w:rPr>
        <w:t>La Secretaría transmite los documentos relevantes para esta especie al Comité</w:t>
      </w:r>
      <w:r w:rsidR="007A676A">
        <w:rPr>
          <w:rFonts w:ascii="Arial" w:hAnsi="Arial" w:cs="Arial"/>
          <w:color w:val="000000"/>
          <w:sz w:val="22"/>
          <w:szCs w:val="22"/>
          <w:lang w:val="es-ES" w:eastAsia="en-GB"/>
        </w:rPr>
        <w:t xml:space="preserve"> Asesor del </w:t>
      </w:r>
      <w:proofErr w:type="spellStart"/>
      <w:r w:rsidR="007A676A">
        <w:rPr>
          <w:rFonts w:ascii="Arial" w:hAnsi="Arial" w:cs="Arial"/>
          <w:color w:val="000000"/>
          <w:sz w:val="22"/>
          <w:szCs w:val="22"/>
          <w:lang w:val="es-ES" w:eastAsia="en-GB"/>
        </w:rPr>
        <w:t>MdE</w:t>
      </w:r>
      <w:proofErr w:type="spellEnd"/>
      <w:r w:rsidR="007A676A">
        <w:rPr>
          <w:rFonts w:ascii="Arial" w:hAnsi="Arial" w:cs="Arial"/>
          <w:color w:val="000000"/>
          <w:sz w:val="22"/>
          <w:szCs w:val="22"/>
          <w:lang w:val="es-ES" w:eastAsia="en-GB"/>
        </w:rPr>
        <w:t xml:space="preserve"> sobre tiburones;</w:t>
      </w:r>
    </w:p>
    <w:p w:rsidR="008E7CA4" w:rsidRPr="008E7CA4" w:rsidRDefault="008E7CA4" w:rsidP="007C3608">
      <w:pPr>
        <w:numPr>
          <w:ilvl w:val="0"/>
          <w:numId w:val="7"/>
        </w:numPr>
        <w:spacing w:after="40"/>
        <w:ind w:left="907"/>
        <w:jc w:val="both"/>
        <w:rPr>
          <w:rFonts w:ascii="Arial" w:hAnsi="Arial" w:cs="Arial"/>
          <w:color w:val="000000"/>
          <w:sz w:val="22"/>
          <w:szCs w:val="22"/>
          <w:lang w:val="es-ES" w:eastAsia="en-GB"/>
        </w:rPr>
      </w:pPr>
      <w:r w:rsidRPr="008E7CA4">
        <w:rPr>
          <w:rFonts w:ascii="Arial" w:hAnsi="Arial" w:cs="Arial"/>
          <w:color w:val="000000"/>
          <w:sz w:val="22"/>
          <w:szCs w:val="22"/>
          <w:lang w:val="es-ES" w:eastAsia="en-GB"/>
        </w:rPr>
        <w:t xml:space="preserve">El mismo Comité Asesor deberá analizar la propuesta basado en dichos documentos (y si fuera necesario, bibliografía e información relevante adicional que esté disponible) y preparar una recomendación para la Reunión de los Signatarios concerniente a la inclusión de la especie en el </w:t>
      </w:r>
      <w:r w:rsidR="007A676A">
        <w:rPr>
          <w:rFonts w:ascii="Arial" w:hAnsi="Arial" w:cs="Arial"/>
          <w:color w:val="000000"/>
          <w:sz w:val="22"/>
          <w:szCs w:val="22"/>
          <w:lang w:val="es-ES" w:eastAsia="en-GB"/>
        </w:rPr>
        <w:t xml:space="preserve">Anexo 1 del </w:t>
      </w:r>
      <w:proofErr w:type="spellStart"/>
      <w:r w:rsidR="007A676A">
        <w:rPr>
          <w:rFonts w:ascii="Arial" w:hAnsi="Arial" w:cs="Arial"/>
          <w:color w:val="000000"/>
          <w:sz w:val="22"/>
          <w:szCs w:val="22"/>
          <w:lang w:val="es-ES" w:eastAsia="en-GB"/>
        </w:rPr>
        <w:t>MdE</w:t>
      </w:r>
      <w:proofErr w:type="spellEnd"/>
      <w:r w:rsidR="007A676A">
        <w:rPr>
          <w:rFonts w:ascii="Arial" w:hAnsi="Arial" w:cs="Arial"/>
          <w:color w:val="000000"/>
          <w:sz w:val="22"/>
          <w:szCs w:val="22"/>
          <w:lang w:val="es-ES" w:eastAsia="en-GB"/>
        </w:rPr>
        <w:t xml:space="preserve"> sobre tiburones;</w:t>
      </w:r>
    </w:p>
    <w:p w:rsidR="008E7CA4" w:rsidRPr="008E7CA4" w:rsidRDefault="008E7CA4" w:rsidP="008E7CA4">
      <w:pPr>
        <w:numPr>
          <w:ilvl w:val="0"/>
          <w:numId w:val="7"/>
        </w:numPr>
        <w:ind w:left="900"/>
        <w:jc w:val="both"/>
        <w:rPr>
          <w:rFonts w:ascii="Arial" w:hAnsi="Arial" w:cs="Arial"/>
          <w:color w:val="000000"/>
          <w:sz w:val="22"/>
          <w:szCs w:val="22"/>
          <w:lang w:val="es-ES" w:eastAsia="en-GB"/>
        </w:rPr>
      </w:pPr>
      <w:r w:rsidRPr="008E7CA4">
        <w:rPr>
          <w:rFonts w:ascii="Arial" w:hAnsi="Arial" w:cs="Arial"/>
          <w:color w:val="000000"/>
          <w:sz w:val="22"/>
          <w:szCs w:val="22"/>
          <w:lang w:val="es-ES" w:eastAsia="en-GB"/>
        </w:rPr>
        <w:t xml:space="preserve">La Reunión de los Signatarios del </w:t>
      </w:r>
      <w:proofErr w:type="spellStart"/>
      <w:r w:rsidRPr="008E7CA4">
        <w:rPr>
          <w:rFonts w:ascii="Arial" w:hAnsi="Arial" w:cs="Arial"/>
          <w:color w:val="000000"/>
          <w:sz w:val="22"/>
          <w:szCs w:val="22"/>
          <w:lang w:val="es-ES" w:eastAsia="en-GB"/>
        </w:rPr>
        <w:t>MdE</w:t>
      </w:r>
      <w:proofErr w:type="spellEnd"/>
      <w:r w:rsidRPr="008E7CA4">
        <w:rPr>
          <w:rFonts w:ascii="Arial" w:hAnsi="Arial" w:cs="Arial"/>
          <w:color w:val="000000"/>
          <w:sz w:val="22"/>
          <w:szCs w:val="22"/>
          <w:lang w:val="es-ES" w:eastAsia="en-GB"/>
        </w:rPr>
        <w:t xml:space="preserve"> sobre tiburones deberá decidir por consenso sobre la inclusión de la nueva especie en el Anexo 1 del </w:t>
      </w:r>
      <w:proofErr w:type="spellStart"/>
      <w:r w:rsidRPr="008E7CA4">
        <w:rPr>
          <w:rFonts w:ascii="Arial" w:hAnsi="Arial" w:cs="Arial"/>
          <w:color w:val="000000"/>
          <w:sz w:val="22"/>
          <w:szCs w:val="22"/>
          <w:lang w:val="es-ES" w:eastAsia="en-GB"/>
        </w:rPr>
        <w:t>MdE</w:t>
      </w:r>
      <w:proofErr w:type="spellEnd"/>
      <w:r w:rsidRPr="008E7CA4">
        <w:rPr>
          <w:rFonts w:ascii="Arial" w:hAnsi="Arial" w:cs="Arial"/>
          <w:color w:val="000000"/>
          <w:sz w:val="22"/>
          <w:szCs w:val="22"/>
          <w:lang w:val="es-ES" w:eastAsia="en-GB"/>
        </w:rPr>
        <w:t xml:space="preserve"> sobre tiburones.</w:t>
      </w:r>
    </w:p>
    <w:p w:rsidR="008E7CA4" w:rsidRPr="008E7CA4" w:rsidRDefault="008E7CA4" w:rsidP="008E7CA4">
      <w:pPr>
        <w:suppressAutoHyphens/>
        <w:autoSpaceDN/>
        <w:adjustRightInd/>
        <w:jc w:val="both"/>
        <w:rPr>
          <w:rFonts w:ascii="Arial" w:eastAsia="Arial" w:hAnsi="Arial" w:cs="Arial"/>
          <w:sz w:val="22"/>
          <w:szCs w:val="22"/>
          <w:lang w:val="es-ES" w:eastAsia="ar-SA"/>
        </w:rPr>
      </w:pPr>
    </w:p>
    <w:p w:rsidR="008E7CA4" w:rsidRPr="008E7CA4" w:rsidRDefault="008E7CA4" w:rsidP="008E7CA4">
      <w:pPr>
        <w:suppressAutoHyphens/>
        <w:autoSpaceDN/>
        <w:adjustRightInd/>
        <w:jc w:val="both"/>
        <w:rPr>
          <w:rFonts w:ascii="Arial" w:eastAsia="Arial" w:hAnsi="Arial" w:cs="Arial"/>
          <w:b/>
          <w:bCs/>
          <w:sz w:val="22"/>
          <w:szCs w:val="22"/>
          <w:lang w:val="es-ES" w:eastAsia="ar-SA"/>
        </w:rPr>
      </w:pPr>
      <w:r w:rsidRPr="008E7CA4">
        <w:rPr>
          <w:rFonts w:ascii="Arial" w:eastAsia="Arial" w:hAnsi="Arial" w:cs="Arial"/>
          <w:b/>
          <w:bCs/>
          <w:sz w:val="22"/>
          <w:szCs w:val="22"/>
          <w:lang w:val="es-ES" w:eastAsia="ar-SA"/>
        </w:rPr>
        <w:t xml:space="preserve">Criterios para la inclusión de especies en la lista de especies (Anexo 1) del </w:t>
      </w:r>
      <w:proofErr w:type="spellStart"/>
      <w:r w:rsidRPr="008E7CA4">
        <w:rPr>
          <w:rFonts w:ascii="Arial" w:eastAsia="Arial" w:hAnsi="Arial" w:cs="Arial"/>
          <w:b/>
          <w:bCs/>
          <w:sz w:val="22"/>
          <w:szCs w:val="22"/>
          <w:lang w:val="es-ES" w:eastAsia="ar-SA"/>
        </w:rPr>
        <w:t>MdE</w:t>
      </w:r>
      <w:proofErr w:type="spellEnd"/>
      <w:r w:rsidRPr="008E7CA4">
        <w:rPr>
          <w:rFonts w:ascii="Arial" w:eastAsia="Arial" w:hAnsi="Arial" w:cs="Arial"/>
          <w:b/>
          <w:bCs/>
          <w:sz w:val="22"/>
          <w:szCs w:val="22"/>
          <w:lang w:val="es-ES" w:eastAsia="ar-SA"/>
        </w:rPr>
        <w:t>:</w:t>
      </w:r>
    </w:p>
    <w:p w:rsidR="008E7CA4" w:rsidRPr="008E7CA4" w:rsidRDefault="008E7CA4" w:rsidP="008E7CA4">
      <w:pPr>
        <w:suppressAutoHyphens/>
        <w:autoSpaceDN/>
        <w:adjustRightInd/>
        <w:jc w:val="both"/>
        <w:rPr>
          <w:rFonts w:ascii="Arial" w:eastAsia="Arial" w:hAnsi="Arial" w:cs="Arial"/>
          <w:color w:val="000000"/>
          <w:sz w:val="22"/>
          <w:szCs w:val="22"/>
          <w:lang w:val="es-ES" w:eastAsia="ar-SA"/>
        </w:rPr>
      </w:pPr>
    </w:p>
    <w:p w:rsidR="008E7CA4" w:rsidRPr="008E7CA4" w:rsidRDefault="008E7CA4" w:rsidP="008E7CA4">
      <w:pPr>
        <w:contextualSpacing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8E7CA4">
        <w:rPr>
          <w:rFonts w:ascii="Arial" w:hAnsi="Arial" w:cs="Arial"/>
          <w:b/>
          <w:sz w:val="22"/>
          <w:szCs w:val="22"/>
        </w:rPr>
        <w:t>Antecedentes</w:t>
      </w:r>
      <w:proofErr w:type="spellEnd"/>
    </w:p>
    <w:p w:rsidR="008E7CA4" w:rsidRPr="008E7CA4" w:rsidRDefault="008E7CA4" w:rsidP="008E7CA4">
      <w:pPr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8E7CA4" w:rsidRPr="008E7CA4" w:rsidRDefault="008E7CA4" w:rsidP="008E7CA4">
      <w:pPr>
        <w:numPr>
          <w:ilvl w:val="0"/>
          <w:numId w:val="4"/>
        </w:numPr>
        <w:suppressAutoHyphens/>
        <w:autoSpaceDN/>
        <w:adjustRightInd/>
        <w:ind w:left="540" w:hanging="450"/>
        <w:jc w:val="both"/>
        <w:rPr>
          <w:rFonts w:ascii="Arial" w:eastAsia="Arial" w:hAnsi="Arial" w:cs="Arial"/>
          <w:sz w:val="22"/>
          <w:szCs w:val="22"/>
          <w:lang w:val="es-ES" w:eastAsia="ar-SA"/>
        </w:rPr>
      </w:pPr>
      <w:r w:rsidRPr="008E7CA4">
        <w:rPr>
          <w:rFonts w:ascii="Arial" w:eastAsia="Arial" w:hAnsi="Arial" w:cs="Arial"/>
          <w:sz w:val="22"/>
          <w:szCs w:val="22"/>
          <w:lang w:val="es-ES" w:eastAsia="ar-SA"/>
        </w:rPr>
        <w:t xml:space="preserve">Los </w:t>
      </w:r>
      <w:proofErr w:type="spellStart"/>
      <w:r w:rsidRPr="008E7CA4">
        <w:rPr>
          <w:rFonts w:ascii="Arial" w:eastAsia="Arial" w:hAnsi="Arial" w:cs="Arial"/>
          <w:sz w:val="22"/>
          <w:szCs w:val="22"/>
          <w:lang w:val="es-ES" w:eastAsia="ar-SA"/>
        </w:rPr>
        <w:t>MdE</w:t>
      </w:r>
      <w:proofErr w:type="spellEnd"/>
      <w:r w:rsidRPr="008E7CA4">
        <w:rPr>
          <w:rFonts w:ascii="Arial" w:eastAsia="Arial" w:hAnsi="Arial" w:cs="Arial"/>
          <w:sz w:val="22"/>
          <w:szCs w:val="22"/>
          <w:lang w:val="es-ES" w:eastAsia="ar-SA"/>
        </w:rPr>
        <w:t xml:space="preserve"> sobre los tiburones es un acuerdo que se ajusta al Artículo </w:t>
      </w:r>
      <w:proofErr w:type="gramStart"/>
      <w:r w:rsidRPr="008E7CA4">
        <w:rPr>
          <w:rFonts w:ascii="Arial" w:eastAsia="Arial" w:hAnsi="Arial" w:cs="Arial"/>
          <w:sz w:val="22"/>
          <w:szCs w:val="22"/>
          <w:lang w:val="es-ES" w:eastAsia="ar-SA"/>
        </w:rPr>
        <w:t>IV(</w:t>
      </w:r>
      <w:proofErr w:type="gramEnd"/>
      <w:r w:rsidRPr="008E7CA4">
        <w:rPr>
          <w:rFonts w:ascii="Arial" w:eastAsia="Arial" w:hAnsi="Arial" w:cs="Arial"/>
          <w:sz w:val="22"/>
          <w:szCs w:val="22"/>
          <w:lang w:val="es-ES" w:eastAsia="ar-SA"/>
        </w:rPr>
        <w:t>4) de la Convención sobre la Conservación de las Especies Migratorias de Animales Silvestres, que se habían elaborado para las especies de tiburones migratorios indicadas en el Apéndice II de la Convención.</w:t>
      </w:r>
    </w:p>
    <w:p w:rsidR="008E7CA4" w:rsidRPr="008E7CA4" w:rsidRDefault="008E7CA4" w:rsidP="008E7CA4">
      <w:pPr>
        <w:suppressAutoHyphens/>
        <w:autoSpaceDN/>
        <w:adjustRightInd/>
        <w:ind w:left="540" w:hanging="540"/>
        <w:jc w:val="both"/>
        <w:rPr>
          <w:rFonts w:ascii="Arial" w:eastAsia="Arial" w:hAnsi="Arial" w:cs="Arial"/>
          <w:sz w:val="22"/>
          <w:szCs w:val="22"/>
          <w:lang w:val="es-ES" w:eastAsia="ar-SA"/>
        </w:rPr>
      </w:pPr>
    </w:p>
    <w:p w:rsidR="008E7CA4" w:rsidRPr="008E7CA4" w:rsidRDefault="008E7CA4" w:rsidP="008E7CA4">
      <w:pPr>
        <w:numPr>
          <w:ilvl w:val="0"/>
          <w:numId w:val="4"/>
        </w:numPr>
        <w:suppressAutoHyphens/>
        <w:autoSpaceDN/>
        <w:adjustRightInd/>
        <w:ind w:left="540" w:hanging="540"/>
        <w:jc w:val="both"/>
        <w:rPr>
          <w:rFonts w:ascii="Arial" w:eastAsia="Arial" w:hAnsi="Arial" w:cs="Arial"/>
          <w:sz w:val="22"/>
          <w:szCs w:val="22"/>
          <w:lang w:val="es-ES" w:eastAsia="ar-SA"/>
        </w:rPr>
      </w:pPr>
      <w:r w:rsidRPr="008E7CA4">
        <w:rPr>
          <w:rFonts w:ascii="Arial" w:eastAsia="Arial" w:hAnsi="Arial" w:cs="Arial"/>
          <w:sz w:val="22"/>
          <w:szCs w:val="22"/>
          <w:lang w:val="es-ES" w:eastAsia="ar-SA"/>
        </w:rPr>
        <w:t xml:space="preserve">Aunque el Anexo 1 del </w:t>
      </w:r>
      <w:proofErr w:type="spellStart"/>
      <w:r w:rsidRPr="008E7CA4">
        <w:rPr>
          <w:rFonts w:ascii="Arial" w:eastAsia="Arial" w:hAnsi="Arial" w:cs="Arial"/>
          <w:sz w:val="22"/>
          <w:szCs w:val="22"/>
          <w:lang w:val="es-ES" w:eastAsia="ar-SA"/>
        </w:rPr>
        <w:t>MdE</w:t>
      </w:r>
      <w:proofErr w:type="spellEnd"/>
      <w:r w:rsidRPr="008E7CA4">
        <w:rPr>
          <w:rFonts w:ascii="Arial" w:eastAsia="Arial" w:hAnsi="Arial" w:cs="Arial"/>
          <w:sz w:val="22"/>
          <w:szCs w:val="22"/>
          <w:lang w:val="es-ES" w:eastAsia="ar-SA"/>
        </w:rPr>
        <w:t xml:space="preserve"> es independiente de los Apéndices I y II de la CMS, Signatarios han decidido adoptar los criterios generales de la Convención para la inclusión de especies en el Apéndice II. Estos criterios se establecen en el Artículo </w:t>
      </w:r>
      <w:proofErr w:type="gramStart"/>
      <w:r w:rsidRPr="008E7CA4">
        <w:rPr>
          <w:rFonts w:ascii="Arial" w:eastAsia="Arial" w:hAnsi="Arial" w:cs="Arial"/>
          <w:sz w:val="22"/>
          <w:szCs w:val="22"/>
          <w:lang w:val="es-ES" w:eastAsia="ar-SA"/>
        </w:rPr>
        <w:t>IV(</w:t>
      </w:r>
      <w:proofErr w:type="gramEnd"/>
      <w:r w:rsidRPr="008E7CA4">
        <w:rPr>
          <w:rFonts w:ascii="Arial" w:eastAsia="Arial" w:hAnsi="Arial" w:cs="Arial"/>
          <w:sz w:val="22"/>
          <w:szCs w:val="22"/>
          <w:lang w:val="es-ES" w:eastAsia="ar-SA"/>
        </w:rPr>
        <w:t xml:space="preserve">1) de la Convención y se han modificado para adaptarlos al </w:t>
      </w:r>
      <w:proofErr w:type="spellStart"/>
      <w:r w:rsidRPr="008E7CA4">
        <w:rPr>
          <w:rFonts w:ascii="Arial" w:eastAsia="Arial" w:hAnsi="Arial" w:cs="Arial"/>
          <w:sz w:val="22"/>
          <w:szCs w:val="22"/>
          <w:lang w:val="es-ES" w:eastAsia="ar-SA"/>
        </w:rPr>
        <w:t>MdE</w:t>
      </w:r>
      <w:proofErr w:type="spellEnd"/>
      <w:r w:rsidRPr="008E7CA4">
        <w:rPr>
          <w:rFonts w:ascii="Arial" w:eastAsia="Arial" w:hAnsi="Arial" w:cs="Arial"/>
          <w:sz w:val="22"/>
          <w:szCs w:val="22"/>
          <w:lang w:val="es-ES" w:eastAsia="ar-SA"/>
        </w:rPr>
        <w:t xml:space="preserve">. </w:t>
      </w:r>
    </w:p>
    <w:p w:rsidR="008E7CA4" w:rsidRPr="008E7CA4" w:rsidRDefault="008E7CA4" w:rsidP="008E7CA4">
      <w:pPr>
        <w:ind w:left="540" w:hanging="540"/>
        <w:contextualSpacing/>
        <w:rPr>
          <w:rFonts w:ascii="Arial" w:hAnsi="Arial" w:cs="Arial"/>
          <w:sz w:val="22"/>
          <w:szCs w:val="22"/>
          <w:lang w:val="es-ES"/>
        </w:rPr>
      </w:pPr>
    </w:p>
    <w:p w:rsidR="008E7CA4" w:rsidRPr="008E7CA4" w:rsidRDefault="008E7CA4" w:rsidP="008E7CA4">
      <w:pPr>
        <w:suppressAutoHyphens/>
        <w:autoSpaceDN/>
        <w:adjustRightInd/>
        <w:ind w:left="540" w:right="816" w:hanging="540"/>
        <w:jc w:val="both"/>
        <w:rPr>
          <w:rFonts w:ascii="Arial" w:eastAsia="Arial" w:hAnsi="Arial" w:cs="Arial"/>
          <w:sz w:val="22"/>
          <w:szCs w:val="22"/>
          <w:lang w:val="en-GB" w:eastAsia="ar-SA"/>
        </w:rPr>
      </w:pPr>
      <w:proofErr w:type="spellStart"/>
      <w:r w:rsidRPr="008E7CA4">
        <w:rPr>
          <w:rFonts w:ascii="Arial" w:eastAsia="Arial" w:hAnsi="Arial" w:cs="Arial"/>
          <w:b/>
          <w:sz w:val="22"/>
          <w:szCs w:val="22"/>
          <w:lang w:val="en-GB" w:eastAsia="ar-SA"/>
        </w:rPr>
        <w:t>Criterios</w:t>
      </w:r>
      <w:proofErr w:type="spellEnd"/>
      <w:r w:rsidRPr="008E7CA4">
        <w:rPr>
          <w:rFonts w:ascii="Arial" w:eastAsia="Arial" w:hAnsi="Arial" w:cs="Arial"/>
          <w:b/>
          <w:sz w:val="22"/>
          <w:szCs w:val="22"/>
          <w:lang w:val="en-GB" w:eastAsia="ar-SA"/>
        </w:rPr>
        <w:t xml:space="preserve"> de </w:t>
      </w:r>
      <w:proofErr w:type="spellStart"/>
      <w:r w:rsidRPr="008E7CA4">
        <w:rPr>
          <w:rFonts w:ascii="Arial" w:eastAsia="Arial" w:hAnsi="Arial" w:cs="Arial"/>
          <w:b/>
          <w:sz w:val="22"/>
          <w:szCs w:val="22"/>
          <w:lang w:val="en-GB" w:eastAsia="ar-SA"/>
        </w:rPr>
        <w:t>inclusión</w:t>
      </w:r>
      <w:proofErr w:type="spellEnd"/>
      <w:r w:rsidRPr="008E7CA4">
        <w:rPr>
          <w:rFonts w:ascii="Arial" w:eastAsia="Arial" w:hAnsi="Arial" w:cs="Arial"/>
          <w:b/>
          <w:sz w:val="22"/>
          <w:szCs w:val="22"/>
          <w:lang w:val="en-GB" w:eastAsia="ar-SA"/>
        </w:rPr>
        <w:t xml:space="preserve"> </w:t>
      </w:r>
    </w:p>
    <w:p w:rsidR="008E7CA4" w:rsidRPr="008E7CA4" w:rsidRDefault="008E7CA4" w:rsidP="008E7CA4">
      <w:pPr>
        <w:suppressAutoHyphens/>
        <w:autoSpaceDN/>
        <w:adjustRightInd/>
        <w:ind w:left="540" w:right="816" w:hanging="540"/>
        <w:jc w:val="both"/>
        <w:rPr>
          <w:rFonts w:ascii="Arial" w:eastAsia="Arial" w:hAnsi="Arial" w:cs="Arial"/>
          <w:sz w:val="22"/>
          <w:szCs w:val="22"/>
          <w:lang w:val="en-GB" w:eastAsia="ar-SA"/>
        </w:rPr>
      </w:pPr>
    </w:p>
    <w:p w:rsidR="008E7CA4" w:rsidRPr="008E7CA4" w:rsidRDefault="008E7CA4" w:rsidP="008E7CA4">
      <w:pPr>
        <w:numPr>
          <w:ilvl w:val="0"/>
          <w:numId w:val="4"/>
        </w:numPr>
        <w:suppressAutoHyphens/>
        <w:autoSpaceDN/>
        <w:adjustRightInd/>
        <w:ind w:left="540" w:hanging="540"/>
        <w:jc w:val="both"/>
        <w:rPr>
          <w:rFonts w:ascii="Arial" w:eastAsia="Arial" w:hAnsi="Arial" w:cs="Arial"/>
          <w:sz w:val="22"/>
          <w:szCs w:val="22"/>
          <w:lang w:val="es-ES" w:eastAsia="ar-SA"/>
        </w:rPr>
      </w:pPr>
      <w:r w:rsidRPr="008E7CA4">
        <w:rPr>
          <w:rFonts w:ascii="Arial" w:eastAsia="Arial" w:hAnsi="Arial" w:cs="Arial"/>
          <w:sz w:val="22"/>
          <w:szCs w:val="22"/>
          <w:lang w:val="es-ES" w:eastAsia="ar-SA"/>
        </w:rPr>
        <w:t xml:space="preserve">En el Anexo 1 del </w:t>
      </w:r>
      <w:proofErr w:type="spellStart"/>
      <w:r w:rsidRPr="008E7CA4">
        <w:rPr>
          <w:rFonts w:ascii="Arial" w:eastAsia="Arial" w:hAnsi="Arial" w:cs="Arial"/>
          <w:sz w:val="22"/>
          <w:szCs w:val="22"/>
          <w:lang w:val="es-ES" w:eastAsia="ar-SA"/>
        </w:rPr>
        <w:t>MdE</w:t>
      </w:r>
      <w:proofErr w:type="spellEnd"/>
      <w:r w:rsidRPr="008E7CA4">
        <w:rPr>
          <w:rFonts w:ascii="Arial" w:eastAsia="Arial" w:hAnsi="Arial" w:cs="Arial"/>
          <w:sz w:val="22"/>
          <w:szCs w:val="22"/>
          <w:lang w:val="es-ES" w:eastAsia="ar-SA"/>
        </w:rPr>
        <w:t xml:space="preserve"> se enumeran las especies migratorias cuyo estado de conservación sea desfavorable y que necesiten que se concluyan acuerdos internacionales para su conservación, cuidado y aprovechamiento, así como aquellas cuyo estado de conservación se beneficiaría considerablemente de la cooperación internacional resultante de un acuerdo internacional</w:t>
      </w:r>
      <w:r w:rsidR="007A676A">
        <w:rPr>
          <w:rFonts w:ascii="Arial" w:eastAsia="Arial" w:hAnsi="Arial" w:cs="Arial"/>
          <w:sz w:val="22"/>
          <w:szCs w:val="22"/>
          <w:lang w:val="es-ES" w:eastAsia="ar-SA"/>
        </w:rPr>
        <w:t>.</w:t>
      </w:r>
      <w:r w:rsidRPr="008E7CA4">
        <w:rPr>
          <w:rFonts w:ascii="Arial" w:eastAsia="Arial" w:hAnsi="Arial" w:cs="Arial"/>
          <w:sz w:val="22"/>
          <w:szCs w:val="22"/>
          <w:lang w:val="es-ES" w:eastAsia="ar-SA"/>
        </w:rPr>
        <w:t xml:space="preserve"> </w:t>
      </w:r>
    </w:p>
    <w:p w:rsidR="008E7CA4" w:rsidRPr="008E7CA4" w:rsidRDefault="008E7CA4" w:rsidP="008E7CA4">
      <w:pPr>
        <w:suppressAutoHyphens/>
        <w:autoSpaceDN/>
        <w:adjustRightInd/>
        <w:ind w:left="540" w:hanging="540"/>
        <w:jc w:val="both"/>
        <w:rPr>
          <w:rFonts w:ascii="Arial" w:eastAsia="Arial" w:hAnsi="Arial" w:cs="Arial"/>
          <w:sz w:val="22"/>
          <w:szCs w:val="22"/>
          <w:lang w:val="es-ES" w:eastAsia="ar-SA"/>
        </w:rPr>
      </w:pPr>
    </w:p>
    <w:p w:rsidR="008E7CA4" w:rsidRPr="008E7CA4" w:rsidRDefault="008E7CA4" w:rsidP="007C3608">
      <w:pPr>
        <w:numPr>
          <w:ilvl w:val="0"/>
          <w:numId w:val="4"/>
        </w:numPr>
        <w:suppressAutoHyphens/>
        <w:autoSpaceDN/>
        <w:adjustRightInd/>
        <w:spacing w:after="120"/>
        <w:ind w:left="547" w:hanging="547"/>
        <w:jc w:val="both"/>
        <w:rPr>
          <w:rFonts w:ascii="Arial" w:eastAsia="Arial" w:hAnsi="Arial" w:cs="Arial"/>
          <w:sz w:val="22"/>
          <w:szCs w:val="22"/>
          <w:lang w:val="es-ES" w:eastAsia="ar-SA"/>
        </w:rPr>
      </w:pPr>
      <w:r w:rsidRPr="008E7CA4">
        <w:rPr>
          <w:rFonts w:ascii="Arial" w:eastAsia="Arial" w:hAnsi="Arial" w:cs="Arial"/>
          <w:color w:val="000000"/>
          <w:sz w:val="22"/>
          <w:szCs w:val="22"/>
          <w:lang w:val="es-ES" w:eastAsia="ar-SA"/>
        </w:rPr>
        <w:t xml:space="preserve">De conformidad con el párrafo 3 d) del </w:t>
      </w:r>
      <w:proofErr w:type="spellStart"/>
      <w:r w:rsidRPr="008E7CA4">
        <w:rPr>
          <w:rFonts w:ascii="Arial" w:eastAsia="Arial" w:hAnsi="Arial" w:cs="Arial"/>
          <w:color w:val="000000"/>
          <w:sz w:val="22"/>
          <w:szCs w:val="22"/>
          <w:lang w:val="es-ES" w:eastAsia="ar-SA"/>
        </w:rPr>
        <w:t>MdE</w:t>
      </w:r>
      <w:proofErr w:type="spellEnd"/>
      <w:r w:rsidRPr="008E7CA4">
        <w:rPr>
          <w:rFonts w:ascii="Arial" w:eastAsia="Arial" w:hAnsi="Arial" w:cs="Arial"/>
          <w:color w:val="000000"/>
          <w:sz w:val="22"/>
          <w:szCs w:val="22"/>
          <w:lang w:val="es-ES" w:eastAsia="ar-SA"/>
        </w:rPr>
        <w:t>, el estado de conservación se considera "favorable" cuando se cumplen todas las condiciones siguientes:</w:t>
      </w:r>
    </w:p>
    <w:p w:rsidR="008E7CA4" w:rsidRPr="008E7CA4" w:rsidRDefault="008E7CA4" w:rsidP="007C3608">
      <w:pPr>
        <w:numPr>
          <w:ilvl w:val="0"/>
          <w:numId w:val="6"/>
        </w:numPr>
        <w:suppressAutoHyphens/>
        <w:autoSpaceDN/>
        <w:adjustRightInd/>
        <w:spacing w:after="40"/>
        <w:ind w:left="907"/>
        <w:jc w:val="both"/>
        <w:rPr>
          <w:rFonts w:ascii="Arial" w:eastAsia="Arial" w:hAnsi="Arial" w:cs="Arial"/>
          <w:color w:val="000000"/>
          <w:sz w:val="22"/>
          <w:szCs w:val="22"/>
          <w:lang w:val="es-ES" w:eastAsia="ar-SA"/>
        </w:rPr>
      </w:pPr>
      <w:r w:rsidRPr="008E7CA4">
        <w:rPr>
          <w:rFonts w:ascii="Arial" w:eastAsia="Arial" w:hAnsi="Arial" w:cs="Arial"/>
          <w:color w:val="000000"/>
          <w:sz w:val="22"/>
          <w:szCs w:val="22"/>
          <w:lang w:val="es-ES" w:eastAsia="ar-SA"/>
        </w:rPr>
        <w:t xml:space="preserve">los datos de la dinámica poblacional en relación con adecuados puntos de referencia biológicos indican que los tiburones migratorios son sostenibles a largo plazo como un </w:t>
      </w:r>
      <w:r w:rsidRPr="008E7CA4">
        <w:rPr>
          <w:rFonts w:ascii="Arial" w:eastAsia="Arial" w:hAnsi="Arial" w:cs="Arial"/>
          <w:color w:val="000000"/>
          <w:sz w:val="22"/>
          <w:szCs w:val="22"/>
          <w:lang w:val="es-ES" w:eastAsia="ar-SA"/>
        </w:rPr>
        <w:lastRenderedPageBreak/>
        <w:t>componente viable de sus ecosistemas;</w:t>
      </w:r>
    </w:p>
    <w:p w:rsidR="008E7CA4" w:rsidRPr="008E7CA4" w:rsidRDefault="008E7CA4" w:rsidP="007C3608">
      <w:pPr>
        <w:numPr>
          <w:ilvl w:val="0"/>
          <w:numId w:val="6"/>
        </w:numPr>
        <w:suppressAutoHyphens/>
        <w:autoSpaceDN/>
        <w:adjustRightInd/>
        <w:spacing w:after="40"/>
        <w:ind w:left="907"/>
        <w:jc w:val="both"/>
        <w:rPr>
          <w:rFonts w:ascii="Arial" w:eastAsia="Arial" w:hAnsi="Arial" w:cs="Arial"/>
          <w:color w:val="000000"/>
          <w:sz w:val="22"/>
          <w:szCs w:val="22"/>
          <w:lang w:val="es-ES" w:eastAsia="ar-SA"/>
        </w:rPr>
      </w:pPr>
      <w:r w:rsidRPr="008E7CA4">
        <w:rPr>
          <w:rFonts w:ascii="Arial" w:eastAsia="Arial" w:hAnsi="Arial" w:cs="Arial"/>
          <w:color w:val="000000"/>
          <w:sz w:val="22"/>
          <w:szCs w:val="22"/>
          <w:lang w:val="es-ES" w:eastAsia="ar-SA"/>
        </w:rPr>
        <w:t>el área de distribución de los tiburones migratorios no está actualmente siendo reducida, ni es probable que se reduzca en el futuro a niveles que afecten la viabilidad de sus poblaciones a largo plazo; y</w:t>
      </w:r>
    </w:p>
    <w:p w:rsidR="008E7CA4" w:rsidRPr="008E7CA4" w:rsidRDefault="008E7CA4" w:rsidP="008E7CA4">
      <w:pPr>
        <w:numPr>
          <w:ilvl w:val="0"/>
          <w:numId w:val="6"/>
        </w:numPr>
        <w:suppressAutoHyphens/>
        <w:autoSpaceDN/>
        <w:adjustRightInd/>
        <w:ind w:left="900"/>
        <w:jc w:val="both"/>
        <w:rPr>
          <w:rFonts w:ascii="Arial" w:eastAsia="Arial" w:hAnsi="Arial" w:cs="Arial"/>
          <w:color w:val="000000"/>
          <w:sz w:val="22"/>
          <w:szCs w:val="22"/>
          <w:lang w:val="es-ES" w:eastAsia="ar-SA"/>
        </w:rPr>
      </w:pPr>
      <w:r w:rsidRPr="008E7CA4">
        <w:rPr>
          <w:rFonts w:ascii="Arial" w:eastAsia="Arial" w:hAnsi="Arial" w:cs="Arial"/>
          <w:color w:val="000000"/>
          <w:sz w:val="22"/>
          <w:szCs w:val="22"/>
          <w:lang w:val="es-ES" w:eastAsia="ar-SA"/>
        </w:rPr>
        <w:t>la abundancia y estructura de las poblaciones de los tiburones migratorios permanece en niveles adecuados para mantener la integridad de los ecosistemas.</w:t>
      </w:r>
    </w:p>
    <w:p w:rsidR="008E7CA4" w:rsidRPr="008E7CA4" w:rsidRDefault="008E7CA4" w:rsidP="008E7CA4">
      <w:pPr>
        <w:suppressAutoHyphens/>
        <w:autoSpaceDN/>
        <w:adjustRightInd/>
        <w:jc w:val="both"/>
        <w:rPr>
          <w:rFonts w:ascii="Arial" w:eastAsia="Arial" w:hAnsi="Arial" w:cs="Arial"/>
          <w:sz w:val="22"/>
          <w:szCs w:val="22"/>
          <w:lang w:val="es-ES" w:eastAsia="ar-SA"/>
        </w:rPr>
      </w:pPr>
    </w:p>
    <w:p w:rsidR="008E7CA4" w:rsidRDefault="008E7CA4" w:rsidP="008E7CA4">
      <w:pPr>
        <w:numPr>
          <w:ilvl w:val="0"/>
          <w:numId w:val="4"/>
        </w:numPr>
        <w:ind w:left="540" w:hanging="540"/>
        <w:contextualSpacing/>
        <w:rPr>
          <w:rFonts w:ascii="Arial" w:eastAsia="Arial" w:hAnsi="Arial" w:cs="Arial"/>
          <w:color w:val="000000"/>
          <w:sz w:val="22"/>
          <w:szCs w:val="22"/>
          <w:lang w:val="es-ES" w:eastAsia="ar-SA"/>
        </w:rPr>
      </w:pPr>
      <w:r w:rsidRPr="008E7CA4">
        <w:rPr>
          <w:rFonts w:ascii="Arial" w:eastAsia="Arial" w:hAnsi="Arial" w:cs="Arial"/>
          <w:color w:val="000000"/>
          <w:sz w:val="22"/>
          <w:szCs w:val="22"/>
          <w:lang w:val="es-ES" w:eastAsia="ar-SA"/>
        </w:rPr>
        <w:t xml:space="preserve">De conformidad con el párrafo 3 e) del </w:t>
      </w:r>
      <w:proofErr w:type="spellStart"/>
      <w:r w:rsidRPr="008E7CA4">
        <w:rPr>
          <w:rFonts w:ascii="Arial" w:eastAsia="Arial" w:hAnsi="Arial" w:cs="Arial"/>
          <w:color w:val="000000"/>
          <w:sz w:val="22"/>
          <w:szCs w:val="22"/>
          <w:lang w:val="es-ES" w:eastAsia="ar-SA"/>
        </w:rPr>
        <w:t>MdE</w:t>
      </w:r>
      <w:proofErr w:type="spellEnd"/>
      <w:r w:rsidRPr="008E7CA4">
        <w:rPr>
          <w:rFonts w:ascii="Arial" w:eastAsia="Arial" w:hAnsi="Arial" w:cs="Arial"/>
          <w:color w:val="000000"/>
          <w:sz w:val="22"/>
          <w:szCs w:val="22"/>
          <w:lang w:val="es-ES" w:eastAsia="ar-SA"/>
        </w:rPr>
        <w:t>, el estado de conservación se considerará “desfavorable” si alguna de las condiciones establecidas más arriba no se cumple.</w:t>
      </w:r>
    </w:p>
    <w:p w:rsidR="008E7CA4" w:rsidRDefault="008E7CA4" w:rsidP="008E7CA4">
      <w:pPr>
        <w:ind w:left="540"/>
        <w:contextualSpacing/>
        <w:rPr>
          <w:rFonts w:ascii="Arial" w:eastAsia="Arial" w:hAnsi="Arial" w:cs="Arial"/>
          <w:color w:val="000000"/>
          <w:sz w:val="22"/>
          <w:szCs w:val="22"/>
          <w:lang w:val="es-ES" w:eastAsia="ar-SA"/>
        </w:rPr>
      </w:pPr>
    </w:p>
    <w:p w:rsidR="008E7CA4" w:rsidRPr="008E7CA4" w:rsidRDefault="008E7CA4" w:rsidP="007C3608">
      <w:pPr>
        <w:numPr>
          <w:ilvl w:val="0"/>
          <w:numId w:val="4"/>
        </w:numPr>
        <w:spacing w:after="120"/>
        <w:ind w:left="547" w:hanging="547"/>
        <w:rPr>
          <w:rFonts w:ascii="Arial" w:eastAsia="Arial" w:hAnsi="Arial" w:cs="Arial"/>
          <w:color w:val="000000"/>
          <w:sz w:val="22"/>
          <w:szCs w:val="22"/>
          <w:lang w:val="es-ES" w:eastAsia="ar-SA"/>
        </w:rPr>
      </w:pPr>
      <w:r w:rsidRPr="008E7CA4">
        <w:rPr>
          <w:rFonts w:ascii="Arial" w:eastAsia="Arial" w:hAnsi="Arial" w:cs="Arial"/>
          <w:sz w:val="22"/>
          <w:szCs w:val="22"/>
          <w:lang w:val="es-ES_tradnl" w:eastAsia="ar-SA"/>
        </w:rPr>
        <w:t>El término “especies migratorias” está definido por la CMS en el Artículo I (1), II (1) y IV (1) y se especifica con más detalle en las notas explicativas del formato para las propuestas de enmienda a los Apéndices de la CMS. Para diferenciar mejor el alcance geográfico de las migraciones se aplicarán las siguientes categorías:</w:t>
      </w:r>
    </w:p>
    <w:p w:rsidR="008E7CA4" w:rsidRPr="008E7CA4" w:rsidRDefault="008E7CA4" w:rsidP="007C3608">
      <w:pPr>
        <w:numPr>
          <w:ilvl w:val="0"/>
          <w:numId w:val="8"/>
        </w:numPr>
        <w:suppressAutoHyphens/>
        <w:autoSpaceDN/>
        <w:adjustRightInd/>
        <w:spacing w:after="40"/>
        <w:jc w:val="both"/>
        <w:rPr>
          <w:rFonts w:ascii="Arial" w:eastAsia="Arial" w:hAnsi="Arial" w:cs="Arial"/>
          <w:sz w:val="22"/>
          <w:szCs w:val="22"/>
          <w:lang w:val="es-ES_tradnl" w:eastAsia="ar-SA"/>
        </w:rPr>
      </w:pPr>
      <w:r w:rsidRPr="008E7CA4">
        <w:rPr>
          <w:rFonts w:ascii="Arial" w:eastAsia="Arial" w:hAnsi="Arial" w:cs="Arial"/>
          <w:sz w:val="22"/>
          <w:szCs w:val="22"/>
          <w:lang w:val="es-ES_tradnl" w:eastAsia="ar-SA"/>
        </w:rPr>
        <w:t xml:space="preserve">Altamente migratorias: Aquellas especies cuyas migraciones se extienden a escala de cuencas oceánicas, abarcando </w:t>
      </w:r>
      <w:r w:rsidR="007A676A">
        <w:rPr>
          <w:rFonts w:ascii="Arial" w:eastAsia="Arial" w:hAnsi="Arial" w:cs="Arial"/>
          <w:sz w:val="22"/>
          <w:szCs w:val="22"/>
          <w:lang w:val="es-ES_tradnl" w:eastAsia="ar-SA"/>
        </w:rPr>
        <w:t>así aguas nacionales y alta mar;</w:t>
      </w:r>
      <w:r w:rsidRPr="008E7CA4">
        <w:rPr>
          <w:rFonts w:ascii="Arial" w:eastAsia="Arial" w:hAnsi="Arial" w:cs="Arial"/>
          <w:sz w:val="22"/>
          <w:szCs w:val="22"/>
          <w:lang w:val="es-ES_tradnl" w:eastAsia="ar-SA"/>
        </w:rPr>
        <w:t xml:space="preserve"> </w:t>
      </w:r>
    </w:p>
    <w:p w:rsidR="008E7CA4" w:rsidRPr="008E7CA4" w:rsidRDefault="007A676A" w:rsidP="007C3608">
      <w:pPr>
        <w:numPr>
          <w:ilvl w:val="0"/>
          <w:numId w:val="8"/>
        </w:numPr>
        <w:suppressAutoHyphens/>
        <w:autoSpaceDN/>
        <w:adjustRightInd/>
        <w:spacing w:after="40"/>
        <w:jc w:val="both"/>
        <w:rPr>
          <w:rFonts w:ascii="Arial" w:eastAsia="Arial" w:hAnsi="Arial" w:cs="Arial"/>
          <w:sz w:val="22"/>
          <w:szCs w:val="22"/>
          <w:lang w:val="es-ES_tradnl" w:eastAsia="ar-SA"/>
        </w:rPr>
      </w:pPr>
      <w:r>
        <w:rPr>
          <w:rFonts w:ascii="Arial" w:eastAsia="Arial" w:hAnsi="Arial" w:cs="Arial"/>
          <w:sz w:val="22"/>
          <w:szCs w:val="22"/>
          <w:lang w:val="es-ES_tradnl" w:eastAsia="ar-SA"/>
        </w:rPr>
        <w:t>m</w:t>
      </w:r>
      <w:r w:rsidR="008E7CA4" w:rsidRPr="008E7CA4">
        <w:rPr>
          <w:rFonts w:ascii="Arial" w:eastAsia="Arial" w:hAnsi="Arial" w:cs="Arial"/>
          <w:sz w:val="22"/>
          <w:szCs w:val="22"/>
          <w:lang w:val="es-ES_tradnl" w:eastAsia="ar-SA"/>
        </w:rPr>
        <w:t>igración regional: Aquellas especies cuyas migraciones se extienden a escala de mares regionales (a menudo de plataforma continental), aunque una pequeña proporción de la población puede realizar desplazamientos de mayor distancia, incluyendo viajes a las</w:t>
      </w:r>
      <w:r>
        <w:rPr>
          <w:rFonts w:ascii="Arial" w:eastAsia="Arial" w:hAnsi="Arial" w:cs="Arial"/>
          <w:sz w:val="22"/>
          <w:szCs w:val="22"/>
          <w:lang w:val="es-ES_tradnl" w:eastAsia="ar-SA"/>
        </w:rPr>
        <w:t xml:space="preserve"> cuencas oceánicas;</w:t>
      </w:r>
      <w:r w:rsidR="008E7CA4" w:rsidRPr="008E7CA4">
        <w:rPr>
          <w:rFonts w:ascii="Arial" w:eastAsia="Arial" w:hAnsi="Arial" w:cs="Arial"/>
          <w:sz w:val="22"/>
          <w:szCs w:val="22"/>
          <w:lang w:val="es-ES_tradnl" w:eastAsia="ar-SA"/>
        </w:rPr>
        <w:t xml:space="preserve"> </w:t>
      </w:r>
    </w:p>
    <w:p w:rsidR="008E7CA4" w:rsidRPr="008E7CA4" w:rsidRDefault="007A676A" w:rsidP="007C3608">
      <w:pPr>
        <w:numPr>
          <w:ilvl w:val="0"/>
          <w:numId w:val="8"/>
        </w:numPr>
        <w:suppressAutoHyphens/>
        <w:autoSpaceDN/>
        <w:adjustRightInd/>
        <w:spacing w:after="40"/>
        <w:jc w:val="both"/>
        <w:rPr>
          <w:rFonts w:ascii="Arial" w:eastAsia="Arial" w:hAnsi="Arial" w:cs="Arial"/>
          <w:sz w:val="22"/>
          <w:szCs w:val="22"/>
          <w:lang w:val="es-ES_tradnl" w:eastAsia="ar-SA"/>
        </w:rPr>
      </w:pPr>
      <w:r>
        <w:rPr>
          <w:rFonts w:ascii="Arial" w:eastAsia="Arial" w:hAnsi="Arial" w:cs="Arial"/>
          <w:sz w:val="22"/>
          <w:szCs w:val="22"/>
          <w:lang w:val="es-ES_tradnl" w:eastAsia="ar-SA"/>
        </w:rPr>
        <w:t>m</w:t>
      </w:r>
      <w:r w:rsidR="008E7CA4" w:rsidRPr="008E7CA4">
        <w:rPr>
          <w:rFonts w:ascii="Arial" w:eastAsia="Arial" w:hAnsi="Arial" w:cs="Arial"/>
          <w:sz w:val="22"/>
          <w:szCs w:val="22"/>
          <w:lang w:val="es-ES_tradnl" w:eastAsia="ar-SA"/>
        </w:rPr>
        <w:t>igración subregional: Las especies que migran a escalas espaciales más pequeñas, pero con una evidencia clara de migraciones cíclicas y predecibles a través de</w:t>
      </w:r>
      <w:r>
        <w:rPr>
          <w:rFonts w:ascii="Arial" w:eastAsia="Arial" w:hAnsi="Arial" w:cs="Arial"/>
          <w:sz w:val="22"/>
          <w:szCs w:val="22"/>
          <w:lang w:val="es-ES_tradnl" w:eastAsia="ar-SA"/>
        </w:rPr>
        <w:t xml:space="preserve"> las fronteras jurisdiccionales;</w:t>
      </w:r>
      <w:bookmarkStart w:id="1" w:name="_GoBack"/>
      <w:bookmarkEnd w:id="1"/>
      <w:r w:rsidR="008E7CA4" w:rsidRPr="008E7CA4">
        <w:rPr>
          <w:rFonts w:ascii="Arial" w:eastAsia="Arial" w:hAnsi="Arial" w:cs="Arial"/>
          <w:sz w:val="22"/>
          <w:szCs w:val="22"/>
          <w:lang w:val="es-ES_tradnl" w:eastAsia="ar-SA"/>
        </w:rPr>
        <w:t xml:space="preserve"> </w:t>
      </w:r>
    </w:p>
    <w:p w:rsidR="008E7CA4" w:rsidRPr="008E7CA4" w:rsidRDefault="007A676A" w:rsidP="008E7CA4">
      <w:pPr>
        <w:numPr>
          <w:ilvl w:val="0"/>
          <w:numId w:val="8"/>
        </w:numPr>
        <w:suppressAutoHyphens/>
        <w:autoSpaceDN/>
        <w:adjustRightInd/>
        <w:jc w:val="both"/>
        <w:rPr>
          <w:rFonts w:ascii="Arial" w:eastAsia="Arial" w:hAnsi="Arial" w:cs="Arial"/>
          <w:sz w:val="22"/>
          <w:szCs w:val="22"/>
          <w:lang w:val="es-ES_tradnl" w:eastAsia="ar-SA"/>
        </w:rPr>
      </w:pPr>
      <w:r>
        <w:rPr>
          <w:rFonts w:ascii="Arial" w:eastAsia="Arial" w:hAnsi="Arial" w:cs="Arial"/>
          <w:sz w:val="22"/>
          <w:szCs w:val="22"/>
          <w:lang w:val="es-ES_tradnl" w:eastAsia="ar-SA"/>
        </w:rPr>
        <w:t>m</w:t>
      </w:r>
      <w:r w:rsidR="008E7CA4" w:rsidRPr="008E7CA4">
        <w:rPr>
          <w:rFonts w:ascii="Arial" w:eastAsia="Arial" w:hAnsi="Arial" w:cs="Arial"/>
          <w:sz w:val="22"/>
          <w:szCs w:val="22"/>
          <w:lang w:val="es-ES_tradnl" w:eastAsia="ar-SA"/>
        </w:rPr>
        <w:t xml:space="preserve">igraciones costeras a pequeña escala o no migratorias: Aquellas especies que generalmente son específicas de un área o que sólo realizan trayectos de distancia más corta (p.ej. migraciones estacionales ente la costa y alta mar o de norte a sur). Estas especies son consideradas como que no cumplen con los criterios de “especies migratorias” según lo que define el Artículo I (1) y IV (1) de la CMS. </w:t>
      </w:r>
    </w:p>
    <w:p w:rsidR="008E7CA4" w:rsidRPr="008E7CA4" w:rsidRDefault="008E7CA4" w:rsidP="008E7CA4">
      <w:pPr>
        <w:suppressAutoHyphens/>
        <w:autoSpaceDN/>
        <w:adjustRightInd/>
        <w:jc w:val="both"/>
        <w:rPr>
          <w:rFonts w:ascii="Arial" w:eastAsia="Arial" w:hAnsi="Arial" w:cs="Arial"/>
          <w:color w:val="000000"/>
          <w:sz w:val="22"/>
          <w:szCs w:val="22"/>
          <w:lang w:val="es-ES" w:eastAsia="ar-SA"/>
        </w:rPr>
      </w:pPr>
    </w:p>
    <w:p w:rsidR="008E7CA4" w:rsidRPr="00A80ADB" w:rsidRDefault="008E7CA4" w:rsidP="008E7CA4">
      <w:pPr>
        <w:suppressAutoHyphens/>
        <w:autoSpaceDN/>
        <w:adjustRightInd/>
        <w:jc w:val="both"/>
        <w:rPr>
          <w:rFonts w:ascii="Arial" w:eastAsia="Arial" w:hAnsi="Arial" w:cs="Arial"/>
          <w:b/>
          <w:sz w:val="22"/>
          <w:szCs w:val="22"/>
          <w:lang w:val="es-ES" w:eastAsia="ar-SA"/>
        </w:rPr>
      </w:pPr>
      <w:r w:rsidRPr="00A80ADB">
        <w:rPr>
          <w:rFonts w:ascii="Arial" w:eastAsia="Arial" w:hAnsi="Arial" w:cs="Arial"/>
          <w:b/>
          <w:sz w:val="22"/>
          <w:szCs w:val="22"/>
          <w:lang w:val="es-ES" w:eastAsia="ar-SA"/>
        </w:rPr>
        <w:t>Consideraciones adicionales para el Comité Asesor, en relación con los criterios de inclusión</w:t>
      </w:r>
    </w:p>
    <w:p w:rsidR="008E7CA4" w:rsidRPr="008E7CA4" w:rsidRDefault="008E7CA4" w:rsidP="008E7CA4">
      <w:pPr>
        <w:suppressAutoHyphens/>
        <w:autoSpaceDN/>
        <w:adjustRightInd/>
        <w:jc w:val="both"/>
        <w:rPr>
          <w:rFonts w:ascii="Arial" w:eastAsia="Arial" w:hAnsi="Arial" w:cs="Arial"/>
          <w:strike/>
          <w:color w:val="000000"/>
          <w:sz w:val="22"/>
          <w:szCs w:val="22"/>
          <w:lang w:val="es-ES" w:eastAsia="ar-SA"/>
        </w:rPr>
      </w:pPr>
    </w:p>
    <w:p w:rsidR="007C3608" w:rsidRDefault="008E7CA4" w:rsidP="007C3608">
      <w:pPr>
        <w:numPr>
          <w:ilvl w:val="0"/>
          <w:numId w:val="4"/>
        </w:numPr>
        <w:suppressAutoHyphens/>
        <w:autoSpaceDN/>
        <w:adjustRightInd/>
        <w:ind w:left="540" w:hanging="540"/>
        <w:jc w:val="both"/>
        <w:rPr>
          <w:rFonts w:ascii="Arial" w:eastAsia="Arial" w:hAnsi="Arial" w:cs="Arial"/>
          <w:sz w:val="22"/>
          <w:szCs w:val="22"/>
          <w:lang w:val="es-ES" w:eastAsia="ar-SA"/>
        </w:rPr>
      </w:pPr>
      <w:r w:rsidRPr="008E7CA4">
        <w:rPr>
          <w:rFonts w:ascii="Arial" w:eastAsia="Arial" w:hAnsi="Arial" w:cs="Arial"/>
          <w:sz w:val="22"/>
          <w:szCs w:val="22"/>
          <w:lang w:val="es-ES" w:eastAsia="ar-SA"/>
        </w:rPr>
        <w:t xml:space="preserve">Los Criterios biológicos generales utilizados por la Convención de la CMS para determinar si una especie cumple los requisitos para su inclusión en las listas deberán ser utilizados por el </w:t>
      </w:r>
      <w:proofErr w:type="spellStart"/>
      <w:r w:rsidRPr="008E7CA4">
        <w:rPr>
          <w:rFonts w:ascii="Arial" w:eastAsia="Arial" w:hAnsi="Arial" w:cs="Arial"/>
          <w:sz w:val="22"/>
          <w:szCs w:val="22"/>
          <w:lang w:val="es-ES" w:eastAsia="ar-SA"/>
        </w:rPr>
        <w:t>MdE</w:t>
      </w:r>
      <w:proofErr w:type="spellEnd"/>
      <w:r w:rsidRPr="008E7CA4">
        <w:rPr>
          <w:rFonts w:ascii="Arial" w:eastAsia="Arial" w:hAnsi="Arial" w:cs="Arial"/>
          <w:sz w:val="22"/>
          <w:szCs w:val="22"/>
          <w:lang w:val="es-ES" w:eastAsia="ar-SA"/>
        </w:rPr>
        <w:t>. Esto asegurará un método sencillo y se mantendrá la consistencia con la Convención madre.</w:t>
      </w:r>
    </w:p>
    <w:p w:rsidR="007C3608" w:rsidRDefault="007C3608" w:rsidP="007C3608">
      <w:pPr>
        <w:suppressAutoHyphens/>
        <w:autoSpaceDN/>
        <w:adjustRightInd/>
        <w:ind w:left="540"/>
        <w:jc w:val="both"/>
        <w:rPr>
          <w:rFonts w:ascii="Arial" w:eastAsia="Arial" w:hAnsi="Arial" w:cs="Arial"/>
          <w:sz w:val="22"/>
          <w:szCs w:val="22"/>
          <w:lang w:val="es-ES" w:eastAsia="ar-SA"/>
        </w:rPr>
      </w:pPr>
    </w:p>
    <w:p w:rsidR="008E7CA4" w:rsidRPr="008E7CA4" w:rsidRDefault="008E7CA4" w:rsidP="007C3608">
      <w:pPr>
        <w:numPr>
          <w:ilvl w:val="0"/>
          <w:numId w:val="4"/>
        </w:numPr>
        <w:suppressAutoHyphens/>
        <w:autoSpaceDN/>
        <w:adjustRightInd/>
        <w:ind w:left="540" w:hanging="540"/>
        <w:jc w:val="both"/>
        <w:rPr>
          <w:rFonts w:ascii="Arial" w:eastAsia="Arial" w:hAnsi="Arial" w:cs="Arial"/>
          <w:sz w:val="22"/>
          <w:szCs w:val="22"/>
          <w:lang w:val="es-ES" w:eastAsia="ar-SA"/>
        </w:rPr>
      </w:pPr>
      <w:r w:rsidRPr="008E7CA4">
        <w:rPr>
          <w:rFonts w:ascii="Arial" w:eastAsia="Calibri" w:hAnsi="Arial" w:cs="Arial"/>
          <w:sz w:val="22"/>
          <w:szCs w:val="22"/>
          <w:lang w:val="es-ES_tradnl"/>
        </w:rPr>
        <w:t>A pesar de las normas de la CMS, algunas especies o grupos de especies pueden incluirse como especies “semejantes” si la diferenciación de una especie incluidas en el Anexo 1 es difícil y es probable que haya confusión con esta última. Una especie “semejante” no tiene que cumplir necesariamente todos los criterios para su inclusión en el Anexo 1.</w:t>
      </w:r>
    </w:p>
    <w:p w:rsidR="008E7CA4" w:rsidRPr="008E7CA4" w:rsidRDefault="008E7CA4" w:rsidP="008E7CA4">
      <w:pPr>
        <w:suppressAutoHyphens/>
        <w:autoSpaceDN/>
        <w:adjustRightInd/>
        <w:ind w:left="720" w:hanging="720"/>
        <w:jc w:val="both"/>
        <w:rPr>
          <w:rFonts w:ascii="Arial" w:eastAsia="Arial" w:hAnsi="Arial" w:cs="Arial"/>
          <w:strike/>
          <w:color w:val="000000"/>
          <w:szCs w:val="20"/>
          <w:lang w:val="es-ES_tradnl" w:eastAsia="ar-SA"/>
        </w:rPr>
      </w:pPr>
    </w:p>
    <w:p w:rsidR="008E7CA4" w:rsidRPr="008E7CA4" w:rsidRDefault="008E7CA4" w:rsidP="008E7CA4">
      <w:pPr>
        <w:suppressAutoHyphens/>
        <w:autoSpaceDN/>
        <w:adjustRightInd/>
        <w:jc w:val="both"/>
        <w:rPr>
          <w:rFonts w:ascii="Arial" w:eastAsia="Arial" w:hAnsi="Arial" w:cs="Arial"/>
          <w:b/>
          <w:bCs/>
          <w:sz w:val="22"/>
          <w:szCs w:val="22"/>
          <w:lang w:val="es-ES" w:eastAsia="ar-SA"/>
        </w:rPr>
      </w:pPr>
      <w:r w:rsidRPr="008E7CA4">
        <w:rPr>
          <w:rFonts w:ascii="Arial" w:eastAsia="Arial" w:hAnsi="Arial" w:cs="Arial"/>
          <w:b/>
          <w:bCs/>
          <w:sz w:val="22"/>
          <w:szCs w:val="22"/>
          <w:lang w:val="es-ES" w:eastAsia="ar-SA"/>
        </w:rPr>
        <w:t>Formato de las propuestas de inclusión</w:t>
      </w:r>
    </w:p>
    <w:p w:rsidR="008E7CA4" w:rsidRPr="008E7CA4" w:rsidRDefault="008E7CA4" w:rsidP="008E7CA4">
      <w:pPr>
        <w:suppressAutoHyphens/>
        <w:autoSpaceDN/>
        <w:adjustRightInd/>
        <w:jc w:val="both"/>
        <w:rPr>
          <w:rFonts w:ascii="Arial" w:eastAsia="Arial" w:hAnsi="Arial" w:cs="Arial"/>
          <w:sz w:val="22"/>
          <w:szCs w:val="22"/>
          <w:lang w:val="es-ES" w:eastAsia="ar-SA"/>
        </w:rPr>
      </w:pPr>
    </w:p>
    <w:p w:rsidR="00766125" w:rsidRPr="007C3608" w:rsidRDefault="008E7CA4" w:rsidP="007C3608">
      <w:pPr>
        <w:numPr>
          <w:ilvl w:val="0"/>
          <w:numId w:val="4"/>
        </w:numPr>
        <w:suppressAutoHyphens/>
        <w:autoSpaceDN/>
        <w:adjustRightInd/>
        <w:ind w:left="540" w:hanging="540"/>
        <w:jc w:val="center"/>
        <w:rPr>
          <w:rFonts w:ascii="Arial" w:hAnsi="Arial" w:cs="Arial"/>
          <w:sz w:val="22"/>
          <w:szCs w:val="22"/>
          <w:lang w:val="es-ES"/>
        </w:rPr>
      </w:pPr>
      <w:r w:rsidRPr="008E7CA4">
        <w:rPr>
          <w:rFonts w:ascii="Arial" w:eastAsia="Arial" w:hAnsi="Arial" w:cs="Arial"/>
          <w:color w:val="000000"/>
          <w:sz w:val="22"/>
          <w:szCs w:val="22"/>
          <w:lang w:val="es-ES" w:eastAsia="ar-SA"/>
        </w:rPr>
        <w:t>Un formato para las propuestas de inclusión en la lista se adjunta al presente documento</w:t>
      </w:r>
      <w:r w:rsidRPr="008E7CA4">
        <w:rPr>
          <w:rFonts w:ascii="Arial" w:eastAsia="Arial" w:hAnsi="Arial" w:cs="Arial"/>
          <w:color w:val="000000"/>
          <w:sz w:val="24"/>
          <w:vertAlign w:val="superscript"/>
          <w:lang w:val="en-GB" w:eastAsia="ar-SA"/>
        </w:rPr>
        <w:footnoteReference w:id="1"/>
      </w:r>
      <w:r w:rsidRPr="008E7CA4">
        <w:rPr>
          <w:rFonts w:ascii="Arial" w:eastAsia="Arial" w:hAnsi="Arial" w:cs="Arial"/>
          <w:color w:val="000000"/>
          <w:sz w:val="24"/>
          <w:lang w:val="es-ES" w:eastAsia="ar-SA"/>
        </w:rPr>
        <w:t>.</w:t>
      </w:r>
    </w:p>
    <w:sectPr w:rsidR="00766125" w:rsidRPr="007C3608" w:rsidSect="00766125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411" w:right="1350" w:bottom="1411" w:left="141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223" w:rsidRDefault="00604223" w:rsidP="00766125">
      <w:r>
        <w:separator/>
      </w:r>
    </w:p>
  </w:endnote>
  <w:endnote w:type="continuationSeparator" w:id="0">
    <w:p w:rsidR="00604223" w:rsidRDefault="00604223" w:rsidP="00766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6794594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6125" w:rsidRPr="00766125" w:rsidRDefault="00766125" w:rsidP="00766125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766125">
          <w:rPr>
            <w:rFonts w:ascii="Arial" w:hAnsi="Arial" w:cs="Arial"/>
            <w:sz w:val="18"/>
            <w:szCs w:val="18"/>
          </w:rPr>
          <w:fldChar w:fldCharType="begin"/>
        </w:r>
        <w:r w:rsidRPr="00766125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766125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2</w:t>
        </w:r>
        <w:r w:rsidRPr="00766125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4454981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6125" w:rsidRPr="00766125" w:rsidRDefault="00766125" w:rsidP="00766125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766125">
          <w:rPr>
            <w:rFonts w:ascii="Arial" w:hAnsi="Arial" w:cs="Arial"/>
            <w:sz w:val="18"/>
            <w:szCs w:val="18"/>
          </w:rPr>
          <w:fldChar w:fldCharType="begin"/>
        </w:r>
        <w:r w:rsidRPr="00766125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766125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3</w:t>
        </w:r>
        <w:r w:rsidRPr="00766125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223" w:rsidRDefault="00604223" w:rsidP="00766125">
      <w:r>
        <w:separator/>
      </w:r>
    </w:p>
  </w:footnote>
  <w:footnote w:type="continuationSeparator" w:id="0">
    <w:p w:rsidR="00604223" w:rsidRDefault="00604223" w:rsidP="00766125">
      <w:r>
        <w:continuationSeparator/>
      </w:r>
    </w:p>
  </w:footnote>
  <w:footnote w:id="1">
    <w:p w:rsidR="008E7CA4" w:rsidRPr="00851C08" w:rsidRDefault="008E7CA4" w:rsidP="008E7CA4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="007C3608">
        <w:rPr>
          <w:lang w:val="es-ES"/>
        </w:rPr>
        <w:t xml:space="preserve"> </w:t>
      </w:r>
      <w:r w:rsidRPr="00851C08">
        <w:rPr>
          <w:lang w:val="es-ES"/>
        </w:rPr>
        <w:t>El nuevo formato propuesto est</w:t>
      </w:r>
      <w:r>
        <w:rPr>
          <w:lang w:val="es-ES"/>
        </w:rPr>
        <w:t>á</w:t>
      </w:r>
      <w:r w:rsidRPr="00851C08">
        <w:rPr>
          <w:lang w:val="es-ES"/>
        </w:rPr>
        <w:t xml:space="preserve"> incluido en </w:t>
      </w:r>
      <w:r w:rsidR="007C3608">
        <w:rPr>
          <w:lang w:val="es-ES"/>
        </w:rPr>
        <w:t>CMS/</w:t>
      </w:r>
      <w:proofErr w:type="spellStart"/>
      <w:r w:rsidR="007C3608">
        <w:rPr>
          <w:lang w:val="es-ES"/>
        </w:rPr>
        <w:t>Sharks</w:t>
      </w:r>
      <w:proofErr w:type="spellEnd"/>
      <w:r w:rsidR="007C3608">
        <w:rPr>
          <w:lang w:val="es-ES"/>
        </w:rPr>
        <w:t>/MOS3/CRP2</w:t>
      </w:r>
      <w:r w:rsidRPr="00851C08">
        <w:rPr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608" w:rsidRPr="007C3608" w:rsidRDefault="007C3608" w:rsidP="007C3608">
    <w:pPr>
      <w:pBdr>
        <w:bottom w:val="single" w:sz="4" w:space="1" w:color="auto"/>
      </w:pBdr>
      <w:spacing w:before="40" w:after="40"/>
      <w:jc w:val="both"/>
      <w:rPr>
        <w:rFonts w:ascii="Arial" w:hAnsi="Arial" w:cs="Arial"/>
        <w:i/>
        <w:sz w:val="18"/>
        <w:szCs w:val="18"/>
        <w:lang w:val="fr-FR"/>
      </w:rPr>
    </w:pPr>
    <w:bookmarkStart w:id="2" w:name="_Hlk532331724"/>
    <w:bookmarkStart w:id="3" w:name="_Hlk532331725"/>
    <w:r w:rsidRPr="007C3608">
      <w:rPr>
        <w:rFonts w:ascii="Arial" w:hAnsi="Arial" w:cs="Arial"/>
        <w:i/>
        <w:sz w:val="18"/>
        <w:szCs w:val="18"/>
        <w:lang w:val="fr-FR"/>
      </w:rPr>
      <w:t>CMS/</w:t>
    </w:r>
    <w:proofErr w:type="spellStart"/>
    <w:r w:rsidRPr="007C3608">
      <w:rPr>
        <w:rFonts w:ascii="Arial" w:hAnsi="Arial" w:cs="Arial"/>
        <w:i/>
        <w:sz w:val="18"/>
        <w:szCs w:val="18"/>
        <w:lang w:val="fr-FR"/>
      </w:rPr>
      <w:t>Sharks</w:t>
    </w:r>
    <w:proofErr w:type="spellEnd"/>
    <w:r w:rsidRPr="007C3608">
      <w:rPr>
        <w:rFonts w:ascii="Arial" w:hAnsi="Arial" w:cs="Arial"/>
        <w:i/>
        <w:sz w:val="18"/>
        <w:szCs w:val="18"/>
        <w:lang w:val="fr-FR"/>
      </w:rPr>
      <w:t>/MOS3/CRP1</w:t>
    </w:r>
    <w:bookmarkEnd w:id="2"/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608" w:rsidRPr="007C3608" w:rsidRDefault="007C3608" w:rsidP="007C3608">
    <w:pPr>
      <w:pBdr>
        <w:bottom w:val="single" w:sz="4" w:space="1" w:color="auto"/>
      </w:pBdr>
      <w:spacing w:before="40" w:after="40"/>
      <w:jc w:val="right"/>
      <w:rPr>
        <w:rFonts w:ascii="Arial" w:hAnsi="Arial" w:cs="Arial"/>
        <w:i/>
        <w:sz w:val="18"/>
        <w:szCs w:val="18"/>
        <w:lang w:val="fr-FR"/>
      </w:rPr>
    </w:pPr>
    <w:r w:rsidRPr="007C3608">
      <w:rPr>
        <w:rFonts w:ascii="Arial" w:hAnsi="Arial" w:cs="Arial"/>
        <w:i/>
        <w:sz w:val="18"/>
        <w:szCs w:val="18"/>
        <w:lang w:val="fr-FR"/>
      </w:rPr>
      <w:t>CMS/</w:t>
    </w:r>
    <w:proofErr w:type="spellStart"/>
    <w:r w:rsidRPr="007C3608">
      <w:rPr>
        <w:rFonts w:ascii="Arial" w:hAnsi="Arial" w:cs="Arial"/>
        <w:i/>
        <w:sz w:val="18"/>
        <w:szCs w:val="18"/>
        <w:lang w:val="fr-FR"/>
      </w:rPr>
      <w:t>Sharks</w:t>
    </w:r>
    <w:proofErr w:type="spellEnd"/>
    <w:r w:rsidRPr="007C3608">
      <w:rPr>
        <w:rFonts w:ascii="Arial" w:hAnsi="Arial" w:cs="Arial"/>
        <w:i/>
        <w:sz w:val="18"/>
        <w:szCs w:val="18"/>
        <w:lang w:val="fr-FR"/>
      </w:rPr>
      <w:t>/MOS3/CRP1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61E88"/>
    <w:multiLevelType w:val="hybridMultilevel"/>
    <w:tmpl w:val="A2FE6770"/>
    <w:lvl w:ilvl="0" w:tplc="04090017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E34B76"/>
    <w:multiLevelType w:val="hybridMultilevel"/>
    <w:tmpl w:val="FCC0F006"/>
    <w:lvl w:ilvl="0" w:tplc="723849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06AF1"/>
    <w:multiLevelType w:val="hybridMultilevel"/>
    <w:tmpl w:val="BCD01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E70FA"/>
    <w:multiLevelType w:val="hybridMultilevel"/>
    <w:tmpl w:val="E68665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735138"/>
    <w:multiLevelType w:val="hybridMultilevel"/>
    <w:tmpl w:val="A1A4BDBC"/>
    <w:lvl w:ilvl="0" w:tplc="1660CF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F50389"/>
    <w:multiLevelType w:val="hybridMultilevel"/>
    <w:tmpl w:val="A1A4BDBC"/>
    <w:lvl w:ilvl="0" w:tplc="1660CF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4304FF"/>
    <w:multiLevelType w:val="hybridMultilevel"/>
    <w:tmpl w:val="D2686E1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66E2A0C"/>
    <w:multiLevelType w:val="hybridMultilevel"/>
    <w:tmpl w:val="7F5C842A"/>
    <w:lvl w:ilvl="0" w:tplc="00000001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614"/>
    <w:rsid w:val="003A191D"/>
    <w:rsid w:val="003B0EE6"/>
    <w:rsid w:val="003F19C8"/>
    <w:rsid w:val="005A7C90"/>
    <w:rsid w:val="00604223"/>
    <w:rsid w:val="0061372A"/>
    <w:rsid w:val="006E6D52"/>
    <w:rsid w:val="00745C0B"/>
    <w:rsid w:val="007631D7"/>
    <w:rsid w:val="00766125"/>
    <w:rsid w:val="007A676A"/>
    <w:rsid w:val="007C3608"/>
    <w:rsid w:val="008A2B1C"/>
    <w:rsid w:val="008B1B56"/>
    <w:rsid w:val="008E7CA4"/>
    <w:rsid w:val="009A4757"/>
    <w:rsid w:val="009A5554"/>
    <w:rsid w:val="00A80ADB"/>
    <w:rsid w:val="00B25614"/>
    <w:rsid w:val="00CB2DFD"/>
    <w:rsid w:val="00EF1D0A"/>
    <w:rsid w:val="00F73717"/>
    <w:rsid w:val="00FB13F9"/>
    <w:rsid w:val="00FB2B4F"/>
    <w:rsid w:val="00FF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5CA635"/>
  <w15:chartTrackingRefBased/>
  <w15:docId w15:val="{1103D5E8-93CE-40A8-B852-C13B19C1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56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CA4"/>
    <w:pPr>
      <w:keepNext/>
      <w:keepLines/>
      <w:spacing w:before="240"/>
      <w:outlineLvl w:val="0"/>
    </w:pPr>
    <w:rPr>
      <w:rFonts w:ascii="Calibri Light" w:eastAsia="MS Gothic" w:hAnsi="Calibri Light"/>
      <w:color w:val="2F5496"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"/>
    <w:qFormat/>
    <w:rsid w:val="00B25614"/>
    <w:pPr>
      <w:keepNext/>
      <w:framePr w:hSpace="180" w:wrap="notBeside" w:hAnchor="margin" w:y="-401"/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160"/>
        <w:tab w:val="left" w:pos="2880"/>
        <w:tab w:val="right" w:pos="5426"/>
      </w:tabs>
      <w:spacing w:line="300" w:lineRule="atLeast"/>
      <w:outlineLvl w:val="8"/>
    </w:pPr>
    <w:rPr>
      <w:rFonts w:ascii="Cambria" w:hAnsi="Cambria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25614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B256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61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61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6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61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25614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rsid w:val="00B25614"/>
    <w:rPr>
      <w:rFonts w:ascii="Cambria" w:eastAsia="Times New Roman" w:hAnsi="Cambri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661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125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7661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125"/>
    <w:rPr>
      <w:rFonts w:ascii="Times New Roman" w:eastAsia="Times New Roman" w:hAnsi="Times New Roman" w:cs="Times New Roman"/>
      <w:sz w:val="20"/>
      <w:szCs w:val="24"/>
    </w:rPr>
  </w:style>
  <w:style w:type="paragraph" w:customStyle="1" w:styleId="Heading11">
    <w:name w:val="Heading 11"/>
    <w:basedOn w:val="Normal"/>
    <w:next w:val="Normal"/>
    <w:uiPriority w:val="9"/>
    <w:qFormat/>
    <w:rsid w:val="008E7CA4"/>
    <w:pPr>
      <w:keepNext/>
      <w:keepLines/>
      <w:spacing w:before="240"/>
      <w:outlineLvl w:val="0"/>
    </w:pPr>
    <w:rPr>
      <w:rFonts w:ascii="Calibri Light" w:eastAsia="MS Gothic" w:hAnsi="Calibri Light"/>
      <w:color w:val="2F5496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8E7CA4"/>
    <w:rPr>
      <w:rFonts w:ascii="Calibri Light" w:eastAsia="MS Gothic" w:hAnsi="Calibri Light" w:cs="Times New Roman"/>
      <w:color w:val="2F5496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7CA4"/>
    <w:rPr>
      <w:rFonts w:ascii="Arial" w:hAnsi="Arial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7CA4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7CA4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8E7CA4"/>
    <w:pPr>
      <w:spacing w:after="0" w:line="240" w:lineRule="auto"/>
    </w:pPr>
    <w:rPr>
      <w:rFonts w:ascii="Calibri" w:hAnsi="Calibri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basedOn w:val="DefaultParagraphFont"/>
    <w:uiPriority w:val="9"/>
    <w:rsid w:val="008E7C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8E7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7EB14-0810-4F64-85F7-22B1A5C57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Meyers</dc:creator>
  <cp:keywords/>
  <dc:description/>
  <cp:lastModifiedBy>Ximena Cancino</cp:lastModifiedBy>
  <cp:revision>5</cp:revision>
  <cp:lastPrinted>2018-12-11T22:08:00Z</cp:lastPrinted>
  <dcterms:created xsi:type="dcterms:W3CDTF">2018-12-11T21:47:00Z</dcterms:created>
  <dcterms:modified xsi:type="dcterms:W3CDTF">2018-12-12T10:58:00Z</dcterms:modified>
</cp:coreProperties>
</file>