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94"/>
        <w:tblW w:w="972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4594"/>
        <w:gridCol w:w="3600"/>
      </w:tblGrid>
      <w:tr w:rsidR="00B25614" w:rsidRPr="00FD56E6" w:rsidTr="00ED2D84">
        <w:trPr>
          <w:cantSplit/>
          <w:trHeight w:val="725"/>
        </w:trPr>
        <w:tc>
          <w:tcPr>
            <w:tcW w:w="9720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:rsidR="00B25614" w:rsidRPr="00FD56E6" w:rsidRDefault="00F73717" w:rsidP="00F10A48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en-GB"/>
              </w:rPr>
            </w:pPr>
            <w:r w:rsidRPr="00F9613E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DF19FE9" wp14:editId="69909E69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207645</wp:posOffset>
                  </wp:positionV>
                  <wp:extent cx="255960" cy="359410"/>
                  <wp:effectExtent l="0" t="0" r="0" b="2540"/>
                  <wp:wrapNone/>
                  <wp:docPr id="7" name="Picture 8" descr="cms_logo-for_letterhea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ms_logo-for_letterhea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8BD365" wp14:editId="693996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939165" cy="506730"/>
                  <wp:effectExtent l="0" t="0" r="0" b="0"/>
                  <wp:wrapTight wrapText="bothSides">
                    <wp:wrapPolygon edited="0">
                      <wp:start x="2191" y="2436"/>
                      <wp:lineTo x="1314" y="14617"/>
                      <wp:lineTo x="1314" y="18677"/>
                      <wp:lineTo x="19716" y="18677"/>
                      <wp:lineTo x="19278" y="5684"/>
                      <wp:lineTo x="18840" y="2436"/>
                      <wp:lineTo x="2191" y="2436"/>
                    </wp:wrapPolygon>
                  </wp:wrapTight>
                  <wp:docPr id="12" name="Picture 12" descr="UNEnvironment_Logo_Spanish_Shor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Environment_Logo_Spanish_Shor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5614" w:rsidRPr="00FD56E6">
              <w:rPr>
                <w:sz w:val="22"/>
                <w:szCs w:val="22"/>
                <w:lang w:val="en-GB"/>
              </w:rPr>
              <w:tab/>
            </w:r>
          </w:p>
        </w:tc>
      </w:tr>
      <w:tr w:rsidR="00B25614" w:rsidRPr="00F42E75" w:rsidTr="00ED2D84">
        <w:trPr>
          <w:trHeight w:val="1586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D56E6" w:rsidRDefault="00B25614" w:rsidP="00F10A48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A1A0D1" wp14:editId="16A32CA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73717" w:rsidRDefault="003F19C8" w:rsidP="00F73717">
            <w:pPr>
              <w:spacing w:before="40"/>
              <w:ind w:left="274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MEMORANDO DE ENTENDIMIENTO SOBRE LA CONSERVACI</w:t>
            </w:r>
            <w:r w:rsidRPr="009A555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Ó</w:t>
            </w: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 DE TIBURONES MIGRATORIOS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:rsidR="00B25614" w:rsidRDefault="007631D7" w:rsidP="007631D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CMS/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Sharks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>/MOS</w:t>
            </w:r>
            <w:r w:rsidR="006E6D52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  <w:r w:rsidR="004713D2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F42E75">
              <w:rPr>
                <w:rFonts w:ascii="Arial" w:hAnsi="Arial" w:cs="Arial"/>
                <w:sz w:val="22"/>
                <w:szCs w:val="22"/>
                <w:lang w:val="fr-FR"/>
              </w:rPr>
              <w:t>CRP5</w:t>
            </w:r>
          </w:p>
          <w:p w:rsidR="007631D7" w:rsidRPr="00766125" w:rsidRDefault="00ED2D84" w:rsidP="007631D7">
            <w:pPr>
              <w:spacing w:before="40" w:after="40"/>
              <w:jc w:val="both"/>
              <w:rPr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12 </w:t>
            </w:r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 xml:space="preserve">de </w:t>
            </w:r>
            <w:proofErr w:type="spellStart"/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>diciembre</w:t>
            </w:r>
            <w:proofErr w:type="spellEnd"/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 xml:space="preserve"> de 2018</w:t>
            </w:r>
          </w:p>
        </w:tc>
      </w:tr>
    </w:tbl>
    <w:p w:rsidR="00B25614" w:rsidRDefault="00B25614" w:rsidP="00B25614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66125" w:rsidRDefault="00F42E75" w:rsidP="00F42E75">
      <w:pPr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(del CMS/</w:t>
      </w:r>
      <w:proofErr w:type="spellStart"/>
      <w:r>
        <w:rPr>
          <w:rFonts w:ascii="Arial" w:hAnsi="Arial" w:cs="Arial"/>
          <w:sz w:val="22"/>
          <w:szCs w:val="22"/>
          <w:lang w:val="es-ES"/>
        </w:rPr>
        <w:t>Sharks</w:t>
      </w:r>
      <w:proofErr w:type="spellEnd"/>
      <w:r>
        <w:rPr>
          <w:rFonts w:ascii="Arial" w:hAnsi="Arial" w:cs="Arial"/>
          <w:sz w:val="22"/>
          <w:szCs w:val="22"/>
          <w:lang w:val="es-ES"/>
        </w:rPr>
        <w:t>/MOS3/Doc.13.1</w:t>
      </w:r>
      <w:r w:rsidRPr="00F42E75">
        <w:rPr>
          <w:rFonts w:ascii="Arial" w:hAnsi="Arial" w:cs="Arial"/>
          <w:sz w:val="22"/>
          <w:szCs w:val="22"/>
          <w:lang w:val="es-ES"/>
        </w:rPr>
        <w:t>/Anexo</w:t>
      </w:r>
      <w:r>
        <w:rPr>
          <w:rFonts w:ascii="Arial" w:hAnsi="Arial" w:cs="Arial"/>
          <w:sz w:val="22"/>
          <w:szCs w:val="22"/>
          <w:lang w:val="es-ES"/>
        </w:rPr>
        <w:t xml:space="preserve"> 2</w:t>
      </w:r>
      <w:r w:rsidRPr="00F42E75">
        <w:rPr>
          <w:rFonts w:ascii="Arial" w:hAnsi="Arial" w:cs="Arial"/>
          <w:sz w:val="22"/>
          <w:szCs w:val="22"/>
          <w:lang w:val="es-ES"/>
        </w:rPr>
        <w:t>)</w:t>
      </w:r>
    </w:p>
    <w:p w:rsidR="00F42E75" w:rsidRPr="006E6D52" w:rsidRDefault="00F42E75" w:rsidP="00B25614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66125" w:rsidRPr="00766125" w:rsidRDefault="004713D2" w:rsidP="0076612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4713D2">
        <w:rPr>
          <w:rFonts w:ascii="Arial" w:hAnsi="Arial"/>
          <w:b/>
          <w:bCs/>
          <w:sz w:val="22"/>
          <w:szCs w:val="22"/>
          <w:lang w:val="es-ES_tradnl"/>
        </w:rPr>
        <w:t>PROGRAMA DE CAPACITACIÓN PARA EL MDE SOBRE TIBURONES</w:t>
      </w:r>
    </w:p>
    <w:p w:rsidR="00766125" w:rsidRDefault="00766125" w:rsidP="00766125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ED2D84" w:rsidRDefault="00ED2D84" w:rsidP="00766125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4713D2" w:rsidRPr="004713D2" w:rsidRDefault="004713D2" w:rsidP="004713D2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288"/>
        <w:ind w:left="540" w:hanging="540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4713D2">
        <w:rPr>
          <w:rFonts w:ascii="Arial" w:hAnsi="Arial" w:cs="Arial"/>
          <w:sz w:val="22"/>
          <w:szCs w:val="22"/>
          <w:lang w:val="es-ES_tradnl"/>
        </w:rPr>
        <w:t xml:space="preserve">El Programa de Capacitación tiene como objetivo guiar a los Signatarios del </w:t>
      </w:r>
      <w:proofErr w:type="spellStart"/>
      <w:r w:rsidRPr="004713D2">
        <w:rPr>
          <w:rFonts w:ascii="Arial" w:hAnsi="Arial" w:cs="Arial"/>
          <w:sz w:val="22"/>
          <w:szCs w:val="22"/>
          <w:lang w:val="es-ES_tradnl"/>
        </w:rPr>
        <w:t>MdE</w:t>
      </w:r>
      <w:proofErr w:type="spellEnd"/>
      <w:r w:rsidRPr="004713D2">
        <w:rPr>
          <w:rFonts w:ascii="Arial" w:hAnsi="Arial" w:cs="Arial"/>
          <w:sz w:val="22"/>
          <w:szCs w:val="22"/>
          <w:lang w:val="es-ES_tradnl"/>
        </w:rPr>
        <w:t xml:space="preserve"> sobre tiburones, al Comité Asesor, a la Secretaría y a los Socios Colaboradores en la mejora de la capacidad general necesaria para implementar el Plan de Conservación del </w:t>
      </w:r>
      <w:proofErr w:type="spellStart"/>
      <w:r w:rsidRPr="004713D2">
        <w:rPr>
          <w:rFonts w:ascii="Arial" w:hAnsi="Arial" w:cs="Arial"/>
          <w:sz w:val="22"/>
          <w:szCs w:val="22"/>
          <w:lang w:val="es-ES_tradnl"/>
        </w:rPr>
        <w:t>MdE</w:t>
      </w:r>
      <w:proofErr w:type="spellEnd"/>
      <w:r w:rsidRPr="004713D2">
        <w:rPr>
          <w:rFonts w:ascii="Arial" w:hAnsi="Arial" w:cs="Arial"/>
          <w:sz w:val="22"/>
          <w:szCs w:val="22"/>
          <w:lang w:val="es-ES_tradnl"/>
        </w:rPr>
        <w:t xml:space="preserve"> sobre tiburones.</w:t>
      </w:r>
    </w:p>
    <w:p w:rsidR="004713D2" w:rsidRPr="004713D2" w:rsidRDefault="004713D2" w:rsidP="004713D2">
      <w:pPr>
        <w:widowControl/>
        <w:shd w:val="clear" w:color="auto" w:fill="FFFFFF"/>
        <w:autoSpaceDE/>
        <w:autoSpaceDN/>
        <w:adjustRightInd/>
        <w:spacing w:after="288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</w:p>
    <w:p w:rsidR="004713D2" w:rsidRPr="004713D2" w:rsidRDefault="004713D2" w:rsidP="004713D2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288"/>
        <w:ind w:left="540" w:hanging="540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4713D2">
        <w:rPr>
          <w:rFonts w:ascii="Arial" w:hAnsi="Arial" w:cs="Arial"/>
          <w:sz w:val="22"/>
          <w:szCs w:val="22"/>
          <w:lang w:val="es-ES_tradnl"/>
        </w:rPr>
        <w:t xml:space="preserve">El Programa incluye actividades clave de la más alta prioridad, dirigidas a abordar las principales necesidades de capacitación de los Signatarios. El Programa </w:t>
      </w:r>
      <w:r w:rsidR="0029453B">
        <w:rPr>
          <w:rFonts w:ascii="Arial" w:hAnsi="Arial" w:cs="Arial"/>
          <w:sz w:val="22"/>
          <w:szCs w:val="22"/>
          <w:lang w:val="es-ES_tradnl"/>
        </w:rPr>
        <w:t>debería actualizarse</w:t>
      </w:r>
      <w:r w:rsidRPr="004713D2">
        <w:rPr>
          <w:rFonts w:ascii="Arial" w:hAnsi="Arial" w:cs="Arial"/>
          <w:sz w:val="22"/>
          <w:szCs w:val="22"/>
          <w:lang w:val="es-ES_tradnl"/>
        </w:rPr>
        <w:t xml:space="preserve"> de manera periódica en cada MOS y </w:t>
      </w:r>
      <w:r w:rsidR="0029453B">
        <w:rPr>
          <w:rFonts w:ascii="Arial" w:hAnsi="Arial" w:cs="Arial"/>
          <w:sz w:val="22"/>
          <w:szCs w:val="22"/>
          <w:lang w:val="es-ES_tradnl"/>
        </w:rPr>
        <w:t xml:space="preserve">se debería basarse </w:t>
      </w:r>
      <w:r w:rsidRPr="004713D2">
        <w:rPr>
          <w:rFonts w:ascii="Arial" w:hAnsi="Arial" w:cs="Arial"/>
          <w:sz w:val="22"/>
          <w:szCs w:val="22"/>
          <w:lang w:val="es-ES_tradnl"/>
        </w:rPr>
        <w:t>en las necesidades de capacitación expresadas por los Signatarios. Con el fin de evaluar estas necesidades se prevén los siguientes procedimientos:</w:t>
      </w:r>
    </w:p>
    <w:p w:rsidR="004713D2" w:rsidRPr="004713D2" w:rsidRDefault="004713D2" w:rsidP="004713D2">
      <w:pPr>
        <w:widowControl/>
        <w:shd w:val="clear" w:color="auto" w:fill="FFFFFF"/>
        <w:autoSpaceDE/>
        <w:autoSpaceDN/>
        <w:adjustRightInd/>
        <w:spacing w:after="288"/>
        <w:contextualSpacing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:rsidR="004713D2" w:rsidRPr="004713D2" w:rsidRDefault="004713D2" w:rsidP="004713D2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spacing w:after="288"/>
        <w:ind w:left="1080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4713D2">
        <w:rPr>
          <w:rFonts w:ascii="Arial" w:hAnsi="Arial" w:cs="Arial"/>
          <w:sz w:val="22"/>
          <w:szCs w:val="22"/>
          <w:lang w:val="es-ES_tradnl"/>
        </w:rPr>
        <w:t>Realización de una encuesta por parte de la Secretaría (cada trienio)</w:t>
      </w:r>
    </w:p>
    <w:p w:rsidR="004713D2" w:rsidRPr="004713D2" w:rsidRDefault="004713D2" w:rsidP="004713D2">
      <w:pPr>
        <w:widowControl/>
        <w:numPr>
          <w:ilvl w:val="1"/>
          <w:numId w:val="4"/>
        </w:numPr>
        <w:shd w:val="clear" w:color="auto" w:fill="FFFFFF"/>
        <w:autoSpaceDE/>
        <w:autoSpaceDN/>
        <w:adjustRightInd/>
        <w:spacing w:after="288"/>
        <w:ind w:left="1080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4713D2">
        <w:rPr>
          <w:rFonts w:ascii="Arial" w:hAnsi="Arial" w:cs="Arial"/>
          <w:sz w:val="22"/>
          <w:szCs w:val="22"/>
          <w:lang w:val="es-ES_tradnl"/>
        </w:rPr>
        <w:t>Expresión directa de las necesidades por parte de los Signatarios a la Secretaría (informe nacional y en cualquier momento en el periodo entre sesiones)</w:t>
      </w:r>
    </w:p>
    <w:p w:rsidR="004713D2" w:rsidRPr="004713D2" w:rsidRDefault="004713D2" w:rsidP="004713D2">
      <w:pPr>
        <w:widowControl/>
        <w:shd w:val="clear" w:color="auto" w:fill="FFFFFF"/>
        <w:autoSpaceDE/>
        <w:autoSpaceDN/>
        <w:adjustRightInd/>
        <w:spacing w:after="288"/>
        <w:ind w:left="1440"/>
        <w:contextualSpacing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:rsidR="004713D2" w:rsidRPr="004713D2" w:rsidRDefault="004713D2" w:rsidP="004713D2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288"/>
        <w:ind w:left="540" w:hanging="540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4713D2">
        <w:rPr>
          <w:rFonts w:ascii="Arial" w:hAnsi="Arial" w:cs="Arial"/>
          <w:sz w:val="22"/>
          <w:szCs w:val="22"/>
          <w:lang w:val="es-ES_tradnl"/>
        </w:rPr>
        <w:t xml:space="preserve">La implementación del Programa se </w:t>
      </w:r>
      <w:r w:rsidR="0029453B" w:rsidRPr="004713D2">
        <w:rPr>
          <w:rFonts w:ascii="Arial" w:hAnsi="Arial" w:cs="Arial"/>
          <w:sz w:val="22"/>
          <w:szCs w:val="22"/>
          <w:lang w:val="es-ES_tradnl"/>
        </w:rPr>
        <w:t>financiar</w:t>
      </w:r>
      <w:r w:rsidR="0029453B">
        <w:rPr>
          <w:rFonts w:ascii="Arial" w:hAnsi="Arial" w:cs="Arial"/>
          <w:sz w:val="22"/>
          <w:szCs w:val="22"/>
          <w:lang w:val="es-ES_tradnl"/>
        </w:rPr>
        <w:t>ía</w:t>
      </w:r>
      <w:r w:rsidRPr="004713D2">
        <w:rPr>
          <w:rFonts w:ascii="Arial" w:hAnsi="Arial" w:cs="Arial"/>
          <w:sz w:val="22"/>
          <w:szCs w:val="22"/>
          <w:lang w:val="es-ES_tradnl"/>
        </w:rPr>
        <w:t xml:space="preserve"> mediante contribuciones voluntarias y en especie de los Signatarios y otros países u organizaciones donantes.</w:t>
      </w:r>
    </w:p>
    <w:p w:rsidR="004713D2" w:rsidRPr="004713D2" w:rsidRDefault="004713D2" w:rsidP="004713D2">
      <w:pPr>
        <w:widowControl/>
        <w:shd w:val="clear" w:color="auto" w:fill="FFFFFF"/>
        <w:autoSpaceDE/>
        <w:autoSpaceDN/>
        <w:adjustRightInd/>
        <w:spacing w:after="288"/>
        <w:contextualSpacing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:rsidR="004713D2" w:rsidRPr="004713D2" w:rsidRDefault="004713D2" w:rsidP="004713D2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288"/>
        <w:ind w:left="540" w:hanging="540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4713D2">
        <w:rPr>
          <w:rFonts w:ascii="Arial" w:hAnsi="Arial" w:cs="Arial"/>
          <w:sz w:val="22"/>
          <w:szCs w:val="22"/>
          <w:lang w:val="es-ES_tradnl"/>
        </w:rPr>
        <w:t>Siempre que sea posible, se solicita a la CMS que apoye estas actividades en el contexto de las actividades de divulgación y capacitación relacionadas con la CMS.</w:t>
      </w:r>
    </w:p>
    <w:p w:rsidR="004713D2" w:rsidRPr="004713D2" w:rsidRDefault="004713D2" w:rsidP="004713D2">
      <w:pPr>
        <w:widowControl/>
        <w:shd w:val="clear" w:color="auto" w:fill="FFFFFF"/>
        <w:autoSpaceDE/>
        <w:autoSpaceDN/>
        <w:adjustRightInd/>
        <w:spacing w:after="288"/>
        <w:contextualSpacing/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:rsidR="004713D2" w:rsidRPr="00967588" w:rsidRDefault="004713D2" w:rsidP="004713D2">
      <w:pPr>
        <w:jc w:val="both"/>
        <w:rPr>
          <w:rFonts w:ascii="Arial" w:hAnsi="Arial" w:cs="Arial"/>
          <w:sz w:val="22"/>
          <w:szCs w:val="22"/>
          <w:lang w:val="es-ES_tradnl"/>
        </w:rPr>
        <w:sectPr w:rsidR="004713D2" w:rsidRPr="00967588" w:rsidSect="00766125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411" w:right="1350" w:bottom="1411" w:left="1411" w:header="720" w:footer="720" w:gutter="0"/>
          <w:cols w:space="720"/>
          <w:titlePg/>
          <w:docGrid w:linePitch="360"/>
        </w:sectPr>
      </w:pPr>
      <w:r w:rsidRPr="004713D2">
        <w:rPr>
          <w:rFonts w:ascii="Arial" w:hAnsi="Arial" w:cs="Arial"/>
          <w:sz w:val="22"/>
          <w:szCs w:val="22"/>
          <w:lang w:val="es-ES_tradnl"/>
        </w:rPr>
        <w:t xml:space="preserve">Si fuera apropiado y factible, la capacitación se </w:t>
      </w:r>
      <w:r w:rsidR="0029453B" w:rsidRPr="004713D2">
        <w:rPr>
          <w:rFonts w:ascii="Arial" w:hAnsi="Arial" w:cs="Arial"/>
          <w:sz w:val="22"/>
          <w:szCs w:val="22"/>
          <w:lang w:val="es-ES_tradnl"/>
        </w:rPr>
        <w:t>llevar</w:t>
      </w:r>
      <w:r w:rsidR="0029453B">
        <w:rPr>
          <w:rFonts w:ascii="Arial" w:hAnsi="Arial" w:cs="Arial"/>
          <w:sz w:val="22"/>
          <w:szCs w:val="22"/>
          <w:lang w:val="es-ES_tradnl"/>
        </w:rPr>
        <w:t>ía</w:t>
      </w:r>
      <w:r w:rsidRPr="004713D2">
        <w:rPr>
          <w:rFonts w:ascii="Arial" w:hAnsi="Arial" w:cs="Arial"/>
          <w:sz w:val="22"/>
          <w:szCs w:val="22"/>
          <w:lang w:val="es-ES_tradnl"/>
        </w:rPr>
        <w:t xml:space="preserve"> a cabo en cooperación con otras organizaciones relevantes, en particular, pero no exclusivamente, con la CITES,</w:t>
      </w:r>
      <w:r w:rsidR="0029453B">
        <w:rPr>
          <w:rFonts w:ascii="Arial" w:hAnsi="Arial" w:cs="Arial"/>
          <w:sz w:val="22"/>
          <w:szCs w:val="22"/>
          <w:lang w:val="es-ES_tradnl"/>
        </w:rPr>
        <w:t xml:space="preserve"> la FAO, las OROP y las </w:t>
      </w:r>
      <w:r w:rsidR="00FE6CD8">
        <w:rPr>
          <w:rFonts w:ascii="Arial" w:hAnsi="Arial" w:cs="Arial"/>
          <w:sz w:val="22"/>
          <w:szCs w:val="22"/>
          <w:lang w:val="es-ES_tradnl"/>
        </w:rPr>
        <w:t>Convenciones de mares regionales y planes de acción</w:t>
      </w:r>
      <w:r w:rsidRPr="004713D2">
        <w:rPr>
          <w:rFonts w:ascii="Arial" w:hAnsi="Arial" w:cs="Arial"/>
          <w:sz w:val="22"/>
          <w:szCs w:val="22"/>
          <w:lang w:val="es-ES_tradnl"/>
        </w:rPr>
        <w:t>, así como con el sector privado y sin ánimo de lucro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6"/>
        <w:gridCol w:w="1978"/>
        <w:gridCol w:w="1172"/>
        <w:gridCol w:w="4408"/>
      </w:tblGrid>
      <w:tr w:rsidR="00ED2D84" w:rsidRPr="00ED2D84" w:rsidTr="007A7A62">
        <w:trPr>
          <w:cantSplit/>
          <w:trHeight w:val="466"/>
          <w:tblHeader/>
        </w:trPr>
        <w:tc>
          <w:tcPr>
            <w:tcW w:w="2123" w:type="pct"/>
            <w:tcBorders>
              <w:bottom w:val="single" w:sz="4" w:space="0" w:color="000000"/>
            </w:tcBorders>
            <w:shd w:val="clear" w:color="auto" w:fill="D0CECE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b/>
                <w:szCs w:val="20"/>
                <w:lang w:val="es-ES"/>
              </w:rPr>
            </w:pPr>
            <w:r w:rsidRPr="00ED2D84">
              <w:rPr>
                <w:rFonts w:ascii="Arial" w:hAnsi="Arial" w:cs="Arial"/>
                <w:b/>
                <w:szCs w:val="20"/>
                <w:lang w:val="es-ES"/>
              </w:rPr>
              <w:lastRenderedPageBreak/>
              <w:t>Actividades</w:t>
            </w:r>
          </w:p>
        </w:tc>
        <w:tc>
          <w:tcPr>
            <w:tcW w:w="753" w:type="pct"/>
            <w:tcBorders>
              <w:bottom w:val="single" w:sz="4" w:space="0" w:color="000000"/>
            </w:tcBorders>
            <w:shd w:val="clear" w:color="auto" w:fill="D0CECE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b/>
                <w:szCs w:val="20"/>
                <w:lang w:val="es-ES"/>
              </w:rPr>
            </w:pPr>
            <w:r w:rsidRPr="00ED2D84">
              <w:rPr>
                <w:rFonts w:ascii="Arial" w:hAnsi="Arial" w:cs="Arial"/>
                <w:b/>
                <w:szCs w:val="20"/>
                <w:lang w:val="es-ES"/>
              </w:rPr>
              <w:t>Entidad responsable de la implementación</w:t>
            </w:r>
          </w:p>
        </w:tc>
        <w:tc>
          <w:tcPr>
            <w:tcW w:w="446" w:type="pct"/>
            <w:tcBorders>
              <w:bottom w:val="single" w:sz="4" w:space="0" w:color="000000"/>
            </w:tcBorders>
            <w:shd w:val="clear" w:color="auto" w:fill="D0CECE"/>
          </w:tcPr>
          <w:p w:rsidR="00ED2D84" w:rsidRPr="00ED2D84" w:rsidRDefault="00ED2D84" w:rsidP="00ED2D84">
            <w:pPr>
              <w:rPr>
                <w:rFonts w:ascii="Arial" w:hAnsi="Arial" w:cs="Arial"/>
                <w:b/>
                <w:szCs w:val="20"/>
                <w:lang w:val="es-ES"/>
              </w:rPr>
            </w:pPr>
            <w:r w:rsidRPr="00ED2D84">
              <w:rPr>
                <w:rFonts w:ascii="Arial" w:hAnsi="Arial" w:cs="Arial"/>
                <w:b/>
                <w:szCs w:val="20"/>
                <w:lang w:val="es-ES"/>
              </w:rPr>
              <w:t>Prioridad</w:t>
            </w:r>
            <w:r w:rsidRPr="00ED2D84">
              <w:rPr>
                <w:rFonts w:ascii="Arial" w:hAnsi="Arial" w:cs="Arial"/>
                <w:b/>
                <w:szCs w:val="20"/>
                <w:vertAlign w:val="superscript"/>
                <w:lang w:val="es-ES"/>
              </w:rPr>
              <w:footnoteReference w:id="1"/>
            </w:r>
          </w:p>
        </w:tc>
        <w:tc>
          <w:tcPr>
            <w:tcW w:w="1678" w:type="pct"/>
            <w:tcBorders>
              <w:bottom w:val="single" w:sz="4" w:space="0" w:color="000000"/>
            </w:tcBorders>
            <w:shd w:val="clear" w:color="auto" w:fill="D0CECE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b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Cs w:val="20"/>
                <w:lang w:val="es-ES"/>
              </w:rPr>
              <w:t>Recomendaciones</w:t>
            </w:r>
            <w:r w:rsidRPr="00ED2D84">
              <w:rPr>
                <w:rFonts w:ascii="Arial" w:hAnsi="Arial" w:cs="Arial"/>
                <w:b/>
                <w:szCs w:val="20"/>
                <w:lang w:val="es-ES"/>
              </w:rPr>
              <w:t xml:space="preserve"> del CA</w:t>
            </w:r>
          </w:p>
        </w:tc>
      </w:tr>
      <w:tr w:rsidR="00ED2D84" w:rsidRPr="00ED2D84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7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Capacitación técnica:</w:t>
            </w:r>
          </w:p>
        </w:tc>
        <w:tc>
          <w:tcPr>
            <w:tcW w:w="7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1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</w:tr>
      <w:tr w:rsidR="00ED2D84" w:rsidRPr="00F42E75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5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Elaborar o actualizar/traducir y difundir guías de identificación;</w:t>
            </w:r>
          </w:p>
        </w:tc>
        <w:tc>
          <w:tcPr>
            <w:tcW w:w="7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31" w:hanging="331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Signatarios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31" w:hanging="331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CA</w:t>
            </w:r>
          </w:p>
        </w:tc>
        <w:tc>
          <w:tcPr>
            <w:tcW w:w="446" w:type="pct"/>
            <w:tcBorders>
              <w:top w:val="single" w:sz="4" w:space="0" w:color="000000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1</w:t>
            </w:r>
          </w:p>
        </w:tc>
        <w:tc>
          <w:tcPr>
            <w:tcW w:w="1678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 xml:space="preserve">Las guías de identificación </w:t>
            </w:r>
            <w:r w:rsidR="0029453B" w:rsidRPr="00ED2D84">
              <w:rPr>
                <w:rFonts w:ascii="Arial" w:hAnsi="Arial" w:cs="Arial"/>
                <w:szCs w:val="20"/>
                <w:lang w:val="es-ES"/>
              </w:rPr>
              <w:t>debe</w:t>
            </w:r>
            <w:r w:rsidR="0029453B">
              <w:rPr>
                <w:rFonts w:ascii="Arial" w:hAnsi="Arial" w:cs="Arial"/>
                <w:szCs w:val="20"/>
                <w:lang w:val="es-ES"/>
              </w:rPr>
              <w:t>rían</w:t>
            </w:r>
            <w:r w:rsidRPr="00ED2D84">
              <w:rPr>
                <w:rFonts w:ascii="Arial" w:hAnsi="Arial" w:cs="Arial"/>
                <w:szCs w:val="20"/>
                <w:lang w:val="es-ES"/>
              </w:rPr>
              <w:t xml:space="preserve"> ser desarrolladas en base a las necesidades de la región. Podría ser necesario realizar encuestas con el fin de elaborar una lista de verificación de las especies presentes en determinadas zonas y regiones; se recomienda la cooperación con CITES y la FAO.</w:t>
            </w:r>
          </w:p>
        </w:tc>
      </w:tr>
      <w:tr w:rsidR="00ED2D84" w:rsidRPr="00ED2D84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5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Desarrollar una guía de identificación de CMS/CITES en múltiples idiomas.</w:t>
            </w:r>
          </w:p>
        </w:tc>
        <w:tc>
          <w:tcPr>
            <w:tcW w:w="7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31" w:hanging="331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Signatarios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31" w:hanging="331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CA</w:t>
            </w:r>
          </w:p>
        </w:tc>
        <w:tc>
          <w:tcPr>
            <w:tcW w:w="446" w:type="pct"/>
            <w:tcBorders>
              <w:top w:val="single" w:sz="4" w:space="0" w:color="000000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1</w:t>
            </w:r>
          </w:p>
        </w:tc>
        <w:tc>
          <w:tcPr>
            <w:tcW w:w="1678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</w:tr>
      <w:tr w:rsidR="00ED2D84" w:rsidRPr="00F42E75" w:rsidTr="007A7A62">
        <w:trPr>
          <w:cantSplit/>
          <w:trHeight w:val="293"/>
        </w:trPr>
        <w:tc>
          <w:tcPr>
            <w:tcW w:w="212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5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Identificar materiales de formación existentes o elaborarlos, incluyendo material para la Formación de Formadores (</w:t>
            </w:r>
            <w:proofErr w:type="spellStart"/>
            <w:r w:rsidRPr="00ED2D84">
              <w:rPr>
                <w:rFonts w:ascii="Arial" w:hAnsi="Arial" w:cs="Arial"/>
                <w:szCs w:val="20"/>
                <w:lang w:val="es-ES"/>
              </w:rPr>
              <w:t>FdF</w:t>
            </w:r>
            <w:proofErr w:type="spellEnd"/>
            <w:r w:rsidRPr="00ED2D84">
              <w:rPr>
                <w:rFonts w:ascii="Arial" w:hAnsi="Arial" w:cs="Arial"/>
                <w:szCs w:val="20"/>
                <w:lang w:val="es-ES"/>
              </w:rPr>
              <w:t>) sobre:</w:t>
            </w:r>
          </w:p>
          <w:p w:rsidR="00ED2D84" w:rsidRPr="00ED2D84" w:rsidRDefault="00ED2D84" w:rsidP="007A7A62">
            <w:pPr>
              <w:numPr>
                <w:ilvl w:val="1"/>
                <w:numId w:val="6"/>
              </w:numPr>
              <w:ind w:left="105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identificación de especies;</w:t>
            </w:r>
          </w:p>
          <w:p w:rsidR="00ED2D84" w:rsidRPr="00ED2D84" w:rsidRDefault="00ED2D84" w:rsidP="007A7A62">
            <w:pPr>
              <w:numPr>
                <w:ilvl w:val="1"/>
                <w:numId w:val="6"/>
              </w:numPr>
              <w:ind w:left="105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documentación de protocolos (normalizados);</w:t>
            </w:r>
          </w:p>
          <w:p w:rsidR="00ED2D84" w:rsidRPr="00ED2D84" w:rsidRDefault="00ED2D84" w:rsidP="007A7A62">
            <w:pPr>
              <w:numPr>
                <w:ilvl w:val="1"/>
                <w:numId w:val="6"/>
              </w:numPr>
              <w:ind w:left="105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recopilación de datos (incluyendo análisis preliminares, almacenamiento de datos) y elaboración de informes;</w:t>
            </w:r>
          </w:p>
          <w:p w:rsidR="00ED2D84" w:rsidRPr="00ED2D84" w:rsidRDefault="00ED2D84" w:rsidP="007A7A62">
            <w:pPr>
              <w:numPr>
                <w:ilvl w:val="1"/>
                <w:numId w:val="6"/>
              </w:numPr>
              <w:ind w:left="105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técnicas de manipulación y liberación seguras.</w:t>
            </w:r>
          </w:p>
        </w:tc>
        <w:tc>
          <w:tcPr>
            <w:tcW w:w="75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 xml:space="preserve">Signatarios en cooperación con las OROP </w:t>
            </w:r>
          </w:p>
        </w:tc>
        <w:tc>
          <w:tcPr>
            <w:tcW w:w="446" w:type="pct"/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1</w:t>
            </w:r>
          </w:p>
        </w:tc>
        <w:tc>
          <w:tcPr>
            <w:tcW w:w="1678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La FAO cuenta ya con material de formación sobre recopilación de datos, análisis de datos y presentación de informes; la Administración Nacional Oceánica y Atmosférica de los Estados Unidos (NOAA) y otros organismos ofrecen guías sobre técnicas seguras de manipulación y liberación.</w:t>
            </w:r>
          </w:p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</w:tr>
      <w:tr w:rsidR="00ED2D84" w:rsidRPr="00F42E75" w:rsidTr="007A7A62">
        <w:trPr>
          <w:cantSplit/>
          <w:trHeight w:val="293"/>
        </w:trPr>
        <w:tc>
          <w:tcPr>
            <w:tcW w:w="212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5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 xml:space="preserve">Ofrecer formación o informar a los Signatarios sobre talleres de capacitación apropiados que se organicen en la región </w:t>
            </w:r>
          </w:p>
        </w:tc>
        <w:tc>
          <w:tcPr>
            <w:tcW w:w="75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 xml:space="preserve">Signatarios 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CA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Socios colaboradores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Secretaría</w:t>
            </w:r>
          </w:p>
        </w:tc>
        <w:tc>
          <w:tcPr>
            <w:tcW w:w="446" w:type="pct"/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2</w:t>
            </w:r>
          </w:p>
        </w:tc>
        <w:tc>
          <w:tcPr>
            <w:tcW w:w="1678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Los Signatarios con necesidades de capacitación pueden ser invitados a talleres regionales organizados por otros signatarios, organizaciones relevantes o socios colaboradores.</w:t>
            </w:r>
          </w:p>
        </w:tc>
      </w:tr>
      <w:tr w:rsidR="00ED2D84" w:rsidRPr="00F42E75" w:rsidTr="007A7A62">
        <w:trPr>
          <w:cantSplit/>
          <w:trHeight w:val="293"/>
        </w:trPr>
        <w:tc>
          <w:tcPr>
            <w:tcW w:w="212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5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Facilitar el intercambio de conocimientos y experiencia entre los Signatarios dentro y entre las regiones.</w:t>
            </w:r>
          </w:p>
        </w:tc>
        <w:tc>
          <w:tcPr>
            <w:tcW w:w="75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Signatarios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CA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Socios colaboradores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Secretaría</w:t>
            </w:r>
          </w:p>
        </w:tc>
        <w:tc>
          <w:tcPr>
            <w:tcW w:w="446" w:type="pct"/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3</w:t>
            </w:r>
          </w:p>
        </w:tc>
        <w:tc>
          <w:tcPr>
            <w:tcW w:w="1678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Esto puede hacerse en forma de talleres de formación o mediante el suministro de material didáctico; depósito de material de formación, suministro de bases de datos y asistencia en materia de análisis y presentación de informes</w:t>
            </w:r>
          </w:p>
        </w:tc>
      </w:tr>
      <w:tr w:rsidR="00ED2D84" w:rsidRPr="00ED2D84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7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lastRenderedPageBreak/>
              <w:t>Desarrollo de políticas:</w:t>
            </w:r>
          </w:p>
        </w:tc>
        <w:tc>
          <w:tcPr>
            <w:tcW w:w="7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1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</w:tr>
      <w:tr w:rsidR="00ED2D84" w:rsidRPr="00F42E75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000000"/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8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Revisar y ofrecer orientación sobre estrategias y legislación nacionales.</w:t>
            </w:r>
          </w:p>
        </w:tc>
        <w:tc>
          <w:tcPr>
            <w:tcW w:w="753" w:type="pct"/>
            <w:tcBorders>
              <w:top w:val="single" w:sz="4" w:space="0" w:color="000000"/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Signatarios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Secretaría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Socios colaboradores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000000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1</w:t>
            </w:r>
          </w:p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bajo solicitud</w:t>
            </w:r>
          </w:p>
        </w:tc>
        <w:tc>
          <w:tcPr>
            <w:tcW w:w="1678" w:type="pct"/>
            <w:tcBorders>
              <w:top w:val="single" w:sz="4" w:space="0" w:color="000000"/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A petición de los signatarios, los organismos regionales de ordenación pesquera (OROP) pueden quizás revisar las estrategias.</w:t>
            </w:r>
          </w:p>
        </w:tc>
      </w:tr>
      <w:tr w:rsidR="00ED2D84" w:rsidRPr="00F42E75" w:rsidTr="007A7A62">
        <w:trPr>
          <w:cantSplit/>
          <w:trHeight w:val="29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7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Cumplimiento y aplicación de las leyes relativas a especies protegidas por la CMS:</w:t>
            </w:r>
          </w:p>
        </w:tc>
      </w:tr>
      <w:tr w:rsidR="00ED2D84" w:rsidRPr="00F42E75" w:rsidTr="007A7A62">
        <w:trPr>
          <w:cantSplit/>
          <w:trHeight w:val="293"/>
        </w:trPr>
        <w:tc>
          <w:tcPr>
            <w:tcW w:w="2123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13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Impartir formación y elaborar material didáctico para el personal nacional encargado de la vigilancia y el cumplimiento de la ley.</w:t>
            </w:r>
          </w:p>
        </w:tc>
        <w:tc>
          <w:tcPr>
            <w:tcW w:w="753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Signatarios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Socios colaboradores</w:t>
            </w: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1</w:t>
            </w:r>
          </w:p>
        </w:tc>
        <w:tc>
          <w:tcPr>
            <w:tcW w:w="1678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 xml:space="preserve">Es posible que las OROP puedan prestar asistencia </w:t>
            </w:r>
          </w:p>
        </w:tc>
      </w:tr>
      <w:tr w:rsidR="00ED2D84" w:rsidRPr="00F42E75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7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Conservación y rehabilitación del hábitat:</w:t>
            </w:r>
          </w:p>
        </w:tc>
        <w:tc>
          <w:tcPr>
            <w:tcW w:w="7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1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</w:tr>
      <w:tr w:rsidR="00ED2D84" w:rsidRPr="00ED2D84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9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Ayudar a los Signatarios con la planificación espacial marina.</w:t>
            </w:r>
          </w:p>
        </w:tc>
        <w:tc>
          <w:tcPr>
            <w:tcW w:w="7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 xml:space="preserve">Signatarios 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CA</w:t>
            </w:r>
          </w:p>
        </w:tc>
        <w:tc>
          <w:tcPr>
            <w:tcW w:w="446" w:type="pct"/>
            <w:tcBorders>
              <w:top w:val="single" w:sz="4" w:space="0" w:color="000000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3</w:t>
            </w:r>
          </w:p>
        </w:tc>
        <w:tc>
          <w:tcPr>
            <w:tcW w:w="1678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ED2D84">
              <w:rPr>
                <w:rFonts w:ascii="Arial" w:hAnsi="Arial" w:cs="Arial"/>
                <w:szCs w:val="20"/>
              </w:rPr>
              <w:t>Consulte</w:t>
            </w:r>
            <w:proofErr w:type="spellEnd"/>
            <w:r w:rsidRPr="00ED2D84">
              <w:rPr>
                <w:rFonts w:ascii="Arial" w:hAnsi="Arial" w:cs="Arial"/>
                <w:szCs w:val="20"/>
              </w:rPr>
              <w:t xml:space="preserve"> el CMS/Sharks/Outcome 3</w:t>
            </w:r>
            <w:r w:rsidR="00F42E75">
              <w:rPr>
                <w:rFonts w:ascii="Arial" w:hAnsi="Arial" w:cs="Arial"/>
                <w:szCs w:val="20"/>
                <w:highlight w:val="yellow"/>
              </w:rPr>
              <w:t>.x</w:t>
            </w:r>
          </w:p>
        </w:tc>
      </w:tr>
      <w:tr w:rsidR="00ED2D84" w:rsidRPr="00ED2D84" w:rsidTr="007A7A62">
        <w:trPr>
          <w:cantSplit/>
          <w:trHeight w:val="507"/>
        </w:trPr>
        <w:tc>
          <w:tcPr>
            <w:tcW w:w="2123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9"/>
              </w:numPr>
              <w:ind w:left="510" w:hanging="27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Apoyar el desarrollo de planes de ordenación.</w:t>
            </w:r>
          </w:p>
        </w:tc>
        <w:tc>
          <w:tcPr>
            <w:tcW w:w="753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 xml:space="preserve">Signatarios 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CA</w:t>
            </w: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3</w:t>
            </w:r>
          </w:p>
        </w:tc>
        <w:tc>
          <w:tcPr>
            <w:tcW w:w="1678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jc w:val="both"/>
              <w:rPr>
                <w:rFonts w:ascii="Arial" w:hAnsi="Arial" w:cs="Arial"/>
                <w:szCs w:val="20"/>
              </w:rPr>
            </w:pPr>
            <w:proofErr w:type="spellStart"/>
            <w:r w:rsidRPr="00ED2D84">
              <w:rPr>
                <w:rFonts w:ascii="Arial" w:hAnsi="Arial" w:cs="Arial"/>
                <w:szCs w:val="20"/>
              </w:rPr>
              <w:t>Consulte</w:t>
            </w:r>
            <w:proofErr w:type="spellEnd"/>
            <w:r w:rsidRPr="00ED2D84">
              <w:rPr>
                <w:rFonts w:ascii="Arial" w:hAnsi="Arial" w:cs="Arial"/>
                <w:szCs w:val="20"/>
              </w:rPr>
              <w:t xml:space="preserve"> el CMS/Sharks/Outcome 3</w:t>
            </w:r>
            <w:r w:rsidRPr="00ED2D84">
              <w:rPr>
                <w:rFonts w:ascii="Arial" w:hAnsi="Arial" w:cs="Arial"/>
                <w:szCs w:val="20"/>
                <w:highlight w:val="yellow"/>
              </w:rPr>
              <w:t>.x</w:t>
            </w:r>
          </w:p>
        </w:tc>
      </w:tr>
      <w:tr w:rsidR="00ED2D84" w:rsidRPr="00F42E75" w:rsidTr="007A7A62">
        <w:trPr>
          <w:cantSplit/>
          <w:trHeight w:val="29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7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 xml:space="preserve">Desarrollo y gestión de proyectos de conservación:  </w:t>
            </w:r>
          </w:p>
        </w:tc>
      </w:tr>
      <w:tr w:rsidR="00ED2D84" w:rsidRPr="00ED2D84" w:rsidTr="007A7A62">
        <w:trPr>
          <w:cantSplit/>
          <w:trHeight w:val="1020"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10"/>
              </w:numPr>
              <w:ind w:left="600" w:hanging="450"/>
              <w:contextualSpacing/>
              <w:rPr>
                <w:rFonts w:ascii="Arial" w:hAnsi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Estimular e incentivar el desarrollo de proyectos, por ejemplo, mediante subvenciones para su puesta en marcha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Signatarios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Secretaría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Socios colaboradores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</w:tr>
      <w:tr w:rsidR="00ED2D84" w:rsidRPr="00F42E75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7"/>
              </w:numPr>
              <w:ind w:left="510"/>
              <w:contextualSpacing/>
              <w:rPr>
                <w:rFonts w:ascii="Arial" w:hAnsi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Sensibilización y comunicación / Participación de la comunidad: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</w:tr>
      <w:tr w:rsidR="00ED2D84" w:rsidRPr="00F42E75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15"/>
              </w:numPr>
              <w:ind w:left="69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Desarrollar nuevos materiales de concienciación o identificar los que ya existen, que puedan ser adaptados a las necesidades de las diferentes regiones y países.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Socios colaboradores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Secretaría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CA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 xml:space="preserve">La información podría estar ya disponible a través de los Signatarios o las </w:t>
            </w:r>
            <w:proofErr w:type="spellStart"/>
            <w:r w:rsidRPr="00ED2D84">
              <w:rPr>
                <w:rFonts w:ascii="Arial" w:hAnsi="Arial" w:cs="Arial"/>
                <w:szCs w:val="20"/>
                <w:lang w:val="es-ES"/>
              </w:rPr>
              <w:t>ONGs</w:t>
            </w:r>
            <w:proofErr w:type="spellEnd"/>
            <w:r w:rsidRPr="00ED2D84">
              <w:rPr>
                <w:rFonts w:ascii="Arial" w:hAnsi="Arial" w:cs="Arial"/>
                <w:szCs w:val="20"/>
                <w:lang w:val="es-ES"/>
              </w:rPr>
              <w:t>.</w:t>
            </w:r>
          </w:p>
        </w:tc>
      </w:tr>
      <w:tr w:rsidR="00ED2D84" w:rsidRPr="00ED2D84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10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lastRenderedPageBreak/>
              <w:t>Ayudar a la organización de eventos para educar a la comunidad sobre la conservación de tiburones.</w:t>
            </w:r>
          </w:p>
        </w:tc>
        <w:tc>
          <w:tcPr>
            <w:tcW w:w="753" w:type="pct"/>
            <w:tcBorders>
              <w:top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Signatarios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Socios colaboradores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Secretaría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2</w:t>
            </w:r>
          </w:p>
        </w:tc>
        <w:tc>
          <w:tcPr>
            <w:tcW w:w="1678" w:type="pct"/>
            <w:tcBorders>
              <w:top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</w:tr>
      <w:tr w:rsidR="00ED2D84" w:rsidRPr="00F42E75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7"/>
              </w:numPr>
              <w:ind w:left="336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Cooperación con otros estados de área de distribución:</w:t>
            </w:r>
          </w:p>
        </w:tc>
        <w:tc>
          <w:tcPr>
            <w:tcW w:w="7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1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</w:tr>
      <w:tr w:rsidR="00ED2D84" w:rsidRPr="00F42E75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11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Informar a los Signatarios de oportunidades para la cooperación regional o internacional, tales como iniciativas, proyectos o reuniones multinacionales.</w:t>
            </w:r>
          </w:p>
        </w:tc>
        <w:tc>
          <w:tcPr>
            <w:tcW w:w="7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Signatarios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Secretaría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Socios colaboradores</w:t>
            </w:r>
          </w:p>
        </w:tc>
        <w:tc>
          <w:tcPr>
            <w:tcW w:w="446" w:type="pct"/>
            <w:tcBorders>
              <w:top w:val="single" w:sz="4" w:space="0" w:color="000000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1</w:t>
            </w:r>
          </w:p>
        </w:tc>
        <w:tc>
          <w:tcPr>
            <w:tcW w:w="1678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Esta actividad podría realizarse a un bajo coste.</w:t>
            </w:r>
          </w:p>
        </w:tc>
      </w:tr>
      <w:tr w:rsidR="00ED2D84" w:rsidRPr="00ED2D84" w:rsidTr="007A7A62">
        <w:trPr>
          <w:cantSplit/>
          <w:trHeight w:val="293"/>
        </w:trPr>
        <w:tc>
          <w:tcPr>
            <w:tcW w:w="212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11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Participación de los Signatarios en los acuerdos internacionales existentes (Convenios Marítimos Regionales, Planes de Acción y otros organismos regionales)</w:t>
            </w:r>
          </w:p>
        </w:tc>
        <w:tc>
          <w:tcPr>
            <w:tcW w:w="7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Signatarios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Socios colaboradores</w:t>
            </w:r>
          </w:p>
        </w:tc>
        <w:tc>
          <w:tcPr>
            <w:tcW w:w="446" w:type="pct"/>
            <w:tcBorders>
              <w:top w:val="single" w:sz="4" w:space="0" w:color="000000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2</w:t>
            </w:r>
          </w:p>
        </w:tc>
        <w:tc>
          <w:tcPr>
            <w:tcW w:w="1678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</w:tr>
      <w:tr w:rsidR="00ED2D84" w:rsidRPr="00ED2D84" w:rsidTr="007A7A62">
        <w:trPr>
          <w:cantSplit/>
          <w:trHeight w:val="327"/>
        </w:trPr>
        <w:tc>
          <w:tcPr>
            <w:tcW w:w="2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7"/>
              </w:numPr>
              <w:ind w:left="342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Financiación:</w:t>
            </w:r>
          </w:p>
        </w:tc>
        <w:tc>
          <w:tcPr>
            <w:tcW w:w="7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1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</w:tr>
      <w:tr w:rsidR="00ED2D84" w:rsidRPr="00F42E75" w:rsidTr="007A7A62">
        <w:trPr>
          <w:cantSplit/>
          <w:trHeight w:val="1011"/>
        </w:trPr>
        <w:tc>
          <w:tcPr>
            <w:tcW w:w="212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12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Identificar fuentes de financiación adecuadas e informar a los Signatarios y a los estados del área de distribución sobre oportunidades de financiación</w:t>
            </w:r>
            <w:r w:rsidR="00967588">
              <w:rPr>
                <w:rFonts w:ascii="Arial" w:hAnsi="Arial" w:cs="Arial"/>
                <w:szCs w:val="20"/>
                <w:lang w:val="es-ES"/>
              </w:rPr>
              <w:t xml:space="preserve"> para la implementación del </w:t>
            </w:r>
            <w:proofErr w:type="spellStart"/>
            <w:r w:rsidR="00967588">
              <w:rPr>
                <w:rFonts w:ascii="Arial" w:hAnsi="Arial" w:cs="Arial"/>
                <w:szCs w:val="20"/>
                <w:lang w:val="es-ES"/>
              </w:rPr>
              <w:t>MdE</w:t>
            </w:r>
            <w:proofErr w:type="spellEnd"/>
            <w:r w:rsidR="00967588">
              <w:rPr>
                <w:rFonts w:ascii="Arial" w:hAnsi="Arial" w:cs="Arial"/>
                <w:szCs w:val="20"/>
                <w:lang w:val="es-ES"/>
              </w:rPr>
              <w:t>.</w:t>
            </w:r>
          </w:p>
        </w:tc>
        <w:tc>
          <w:tcPr>
            <w:tcW w:w="7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Signatarios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Secretaría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Socios colaboradores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CA</w:t>
            </w:r>
          </w:p>
        </w:tc>
        <w:tc>
          <w:tcPr>
            <w:tcW w:w="446" w:type="pct"/>
            <w:tcBorders>
              <w:top w:val="single" w:sz="4" w:space="0" w:color="000000"/>
            </w:tcBorders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1</w:t>
            </w:r>
          </w:p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</w:p>
        </w:tc>
        <w:tc>
          <w:tcPr>
            <w:tcW w:w="1678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jc w:val="both"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Los Signatarios, socios colaboradores y el CA podrían proporcionar comentarios sobre las propuestas.</w:t>
            </w:r>
          </w:p>
        </w:tc>
      </w:tr>
      <w:tr w:rsidR="00ED2D84" w:rsidRPr="00ED2D84" w:rsidTr="007A7A62">
        <w:trPr>
          <w:cantSplit/>
          <w:trHeight w:val="984"/>
        </w:trPr>
        <w:tc>
          <w:tcPr>
            <w:tcW w:w="212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7A7A62">
            <w:pPr>
              <w:numPr>
                <w:ilvl w:val="0"/>
                <w:numId w:val="12"/>
              </w:numPr>
              <w:ind w:left="510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Alentar a los organismos de financiación a que consideren las especies de la CMS como criterio a la hora de evaluar propuestas</w:t>
            </w:r>
          </w:p>
        </w:tc>
        <w:tc>
          <w:tcPr>
            <w:tcW w:w="75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Signatarios</w:t>
            </w:r>
          </w:p>
          <w:p w:rsidR="00ED2D84" w:rsidRPr="00ED2D84" w:rsidRDefault="00ED2D84" w:rsidP="00ED2D84">
            <w:pPr>
              <w:numPr>
                <w:ilvl w:val="0"/>
                <w:numId w:val="14"/>
              </w:num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Secretaría</w:t>
            </w:r>
          </w:p>
        </w:tc>
        <w:tc>
          <w:tcPr>
            <w:tcW w:w="446" w:type="pct"/>
          </w:tcPr>
          <w:p w:rsidR="00ED2D84" w:rsidRPr="00ED2D84" w:rsidRDefault="00ED2D84" w:rsidP="00ED2D84">
            <w:pPr>
              <w:rPr>
                <w:rFonts w:ascii="Arial" w:hAnsi="Arial" w:cs="Arial"/>
                <w:szCs w:val="20"/>
                <w:lang w:val="es-ES"/>
              </w:rPr>
            </w:pPr>
            <w:r w:rsidRPr="00ED2D84">
              <w:rPr>
                <w:rFonts w:ascii="Arial" w:hAnsi="Arial" w:cs="Arial"/>
                <w:szCs w:val="20"/>
                <w:lang w:val="es-ES"/>
              </w:rPr>
              <w:t>2</w:t>
            </w:r>
          </w:p>
        </w:tc>
        <w:tc>
          <w:tcPr>
            <w:tcW w:w="1678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D2D84" w:rsidRPr="00ED2D84" w:rsidRDefault="00ED2D84" w:rsidP="00ED2D84">
            <w:pPr>
              <w:ind w:left="354"/>
              <w:contextualSpacing/>
              <w:rPr>
                <w:rFonts w:ascii="Arial" w:hAnsi="Arial" w:cs="Arial"/>
                <w:szCs w:val="20"/>
                <w:lang w:val="es-ES"/>
              </w:rPr>
            </w:pPr>
          </w:p>
        </w:tc>
      </w:tr>
    </w:tbl>
    <w:p w:rsidR="004713D2" w:rsidRDefault="004713D2" w:rsidP="007A7A62">
      <w:pPr>
        <w:jc w:val="both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</w:p>
    <w:sectPr w:rsidR="004713D2" w:rsidSect="00967588">
      <w:headerReference w:type="default" r:id="rId15"/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96B" w:rsidRDefault="00CA196B" w:rsidP="00766125">
      <w:r>
        <w:separator/>
      </w:r>
    </w:p>
  </w:endnote>
  <w:endnote w:type="continuationSeparator" w:id="0">
    <w:p w:rsidR="00CA196B" w:rsidRDefault="00CA196B" w:rsidP="0076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679459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125" w:rsidRPr="00766125" w:rsidRDefault="00766125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445498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125" w:rsidRPr="00766125" w:rsidRDefault="00766125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96B" w:rsidRDefault="00CA196B" w:rsidP="00766125">
      <w:r>
        <w:separator/>
      </w:r>
    </w:p>
  </w:footnote>
  <w:footnote w:type="continuationSeparator" w:id="0">
    <w:p w:rsidR="00CA196B" w:rsidRDefault="00CA196B" w:rsidP="00766125">
      <w:r>
        <w:continuationSeparator/>
      </w:r>
    </w:p>
  </w:footnote>
  <w:footnote w:id="1">
    <w:p w:rsidR="00ED2D84" w:rsidRPr="00390B97" w:rsidRDefault="00ED2D84" w:rsidP="00ED2D84">
      <w:pPr>
        <w:pStyle w:val="FootnoteText"/>
        <w:rPr>
          <w:lang w:val="es-ES_tradnl"/>
        </w:rPr>
      </w:pPr>
      <w:r w:rsidRPr="00967588">
        <w:rPr>
          <w:rStyle w:val="FootnoteReference"/>
          <w:sz w:val="18"/>
          <w:szCs w:val="18"/>
          <w:lang w:val="es-ES_tradnl"/>
        </w:rPr>
        <w:footnoteRef/>
      </w:r>
      <w:r w:rsidRPr="00967588">
        <w:rPr>
          <w:sz w:val="18"/>
          <w:szCs w:val="18"/>
          <w:lang w:val="es-ES_tradnl"/>
        </w:rPr>
        <w:t xml:space="preserve"> Las actividades se clasificaron por orden de prioridad en una escala de 1 (prioridad más alta) a 3 (prioridad más baja)</w:t>
      </w:r>
      <w:r w:rsidRPr="00390B97">
        <w:rPr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125" w:rsidRDefault="00766125" w:rsidP="00766125">
    <w:pPr>
      <w:pStyle w:val="Header"/>
      <w:pBdr>
        <w:bottom w:val="single" w:sz="4" w:space="1" w:color="auto"/>
      </w:pBd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UNEP/CMS/Sharks</w:t>
    </w:r>
    <w:r w:rsidRPr="00766125">
      <w:rPr>
        <w:rFonts w:ascii="Arial" w:hAnsi="Arial" w:cs="Arial"/>
        <w:i/>
        <w:sz w:val="18"/>
        <w:szCs w:val="18"/>
      </w:rPr>
      <w:t>/MOS3/</w:t>
    </w:r>
    <w:r w:rsidR="00F42E75">
      <w:rPr>
        <w:rFonts w:ascii="Arial" w:hAnsi="Arial" w:cs="Arial"/>
        <w:i/>
        <w:sz w:val="18"/>
        <w:szCs w:val="18"/>
      </w:rPr>
      <w:t>CRP5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125" w:rsidRDefault="00766125" w:rsidP="00766125">
    <w:pPr>
      <w:pStyle w:val="Header"/>
      <w:pBdr>
        <w:bottom w:val="single" w:sz="4" w:space="1" w:color="auto"/>
      </w:pBd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UNEP/CMS/Sharks</w:t>
    </w:r>
    <w:r w:rsidRPr="00766125">
      <w:rPr>
        <w:rFonts w:ascii="Arial" w:hAnsi="Arial" w:cs="Arial"/>
        <w:i/>
        <w:sz w:val="18"/>
        <w:szCs w:val="18"/>
      </w:rPr>
      <w:t>/MOS3/</w:t>
    </w:r>
    <w:proofErr w:type="spellStart"/>
    <w:r w:rsidRPr="00766125">
      <w:rPr>
        <w:rFonts w:ascii="Arial" w:hAnsi="Arial" w:cs="Arial"/>
        <w:i/>
        <w:sz w:val="18"/>
        <w:szCs w:val="18"/>
      </w:rPr>
      <w:t>Doc.XX</w:t>
    </w:r>
    <w:proofErr w:type="spellEnd"/>
  </w:p>
  <w:p w:rsidR="00766125" w:rsidRDefault="00766125" w:rsidP="00766125">
    <w:pPr>
      <w:pStyle w:val="Header"/>
      <w:rPr>
        <w:rFonts w:ascii="Arial" w:hAnsi="Arial" w:cs="Arial"/>
        <w:sz w:val="18"/>
        <w:szCs w:val="18"/>
      </w:rPr>
    </w:pPr>
  </w:p>
  <w:p w:rsidR="00766125" w:rsidRDefault="007661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30A" w:rsidRPr="009E2F56" w:rsidRDefault="00370E3F" w:rsidP="009E2F56">
    <w:pPr>
      <w:pStyle w:val="Heading1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CMS/Sharks/MOS3/</w:t>
    </w:r>
    <w:r w:rsidR="00F42E75">
      <w:rPr>
        <w:rFonts w:ascii="Arial" w:hAnsi="Arial" w:cs="Arial"/>
        <w:i/>
        <w:color w:val="auto"/>
        <w:sz w:val="18"/>
        <w:szCs w:val="18"/>
      </w:rPr>
      <w:t>CRP5</w:t>
    </w:r>
  </w:p>
  <w:p w:rsidR="0093430A" w:rsidRDefault="00CA196B" w:rsidP="00F9613E">
    <w:pPr>
      <w:pStyle w:val="Header"/>
      <w:tabs>
        <w:tab w:val="clear" w:pos="4680"/>
        <w:tab w:val="clear" w:pos="9360"/>
        <w:tab w:val="left" w:pos="27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182D"/>
    <w:multiLevelType w:val="hybridMultilevel"/>
    <w:tmpl w:val="6AD86520"/>
    <w:lvl w:ilvl="0" w:tplc="815660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41AD"/>
    <w:multiLevelType w:val="hybridMultilevel"/>
    <w:tmpl w:val="31C2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6CBC"/>
    <w:multiLevelType w:val="hybridMultilevel"/>
    <w:tmpl w:val="4002E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AF1"/>
    <w:multiLevelType w:val="hybridMultilevel"/>
    <w:tmpl w:val="BCD0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5A1C"/>
    <w:multiLevelType w:val="hybridMultilevel"/>
    <w:tmpl w:val="5576229A"/>
    <w:lvl w:ilvl="0" w:tplc="B3660400">
      <w:start w:val="1"/>
      <w:numFmt w:val="lowerLetter"/>
      <w:lvlText w:val="%1)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F79AA"/>
    <w:multiLevelType w:val="hybridMultilevel"/>
    <w:tmpl w:val="46D02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E70FA"/>
    <w:multiLevelType w:val="hybridMultilevel"/>
    <w:tmpl w:val="E6866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5E6235"/>
    <w:multiLevelType w:val="hybridMultilevel"/>
    <w:tmpl w:val="CB5E8B96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23802"/>
    <w:multiLevelType w:val="hybridMultilevel"/>
    <w:tmpl w:val="8162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371D3"/>
    <w:multiLevelType w:val="hybridMultilevel"/>
    <w:tmpl w:val="B57AB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F3333"/>
    <w:multiLevelType w:val="hybridMultilevel"/>
    <w:tmpl w:val="226AB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344EB"/>
    <w:multiLevelType w:val="hybridMultilevel"/>
    <w:tmpl w:val="F0942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615C0"/>
    <w:multiLevelType w:val="hybridMultilevel"/>
    <w:tmpl w:val="36E2C9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2289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515C5"/>
    <w:multiLevelType w:val="hybridMultilevel"/>
    <w:tmpl w:val="DEE69C78"/>
    <w:lvl w:ilvl="0" w:tplc="3B5EF336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304FF"/>
    <w:multiLevelType w:val="hybridMultilevel"/>
    <w:tmpl w:val="D2686E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3"/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1"/>
  </w:num>
  <w:num w:numId="12">
    <w:abstractNumId w:val="10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14"/>
    <w:rsid w:val="0029453B"/>
    <w:rsid w:val="00370E3F"/>
    <w:rsid w:val="003A191D"/>
    <w:rsid w:val="003B0EE6"/>
    <w:rsid w:val="003F19C8"/>
    <w:rsid w:val="004713D2"/>
    <w:rsid w:val="0058728E"/>
    <w:rsid w:val="005A7C90"/>
    <w:rsid w:val="0061372A"/>
    <w:rsid w:val="006E6D52"/>
    <w:rsid w:val="00745C0B"/>
    <w:rsid w:val="007631D7"/>
    <w:rsid w:val="00766125"/>
    <w:rsid w:val="007A7A62"/>
    <w:rsid w:val="008614B1"/>
    <w:rsid w:val="008A2B1C"/>
    <w:rsid w:val="00967588"/>
    <w:rsid w:val="009A4757"/>
    <w:rsid w:val="009A5554"/>
    <w:rsid w:val="00A93602"/>
    <w:rsid w:val="00B25614"/>
    <w:rsid w:val="00CA196B"/>
    <w:rsid w:val="00CB2DFD"/>
    <w:rsid w:val="00ED2D84"/>
    <w:rsid w:val="00EF1D0A"/>
    <w:rsid w:val="00F42E75"/>
    <w:rsid w:val="00F73717"/>
    <w:rsid w:val="00FE6CD8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4FB1C"/>
  <w15:chartTrackingRefBased/>
  <w15:docId w15:val="{1103D5E8-93CE-40A8-B852-C13B19C1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D84"/>
    <w:pPr>
      <w:keepNext/>
      <w:keepLines/>
      <w:spacing w:before="240"/>
      <w:outlineLvl w:val="0"/>
    </w:pPr>
    <w:rPr>
      <w:rFonts w:ascii="Calibri Light" w:eastAsia="MS Gothic" w:hAnsi="Calibri Light"/>
      <w:color w:val="2F5496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qFormat/>
    <w:rsid w:val="00B25614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Cambria" w:hAnsi="Cambr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2561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25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6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61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1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614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B25614"/>
    <w:rPr>
      <w:rFonts w:ascii="Cambria" w:eastAsia="Times New Roman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  <w:style w:type="paragraph" w:customStyle="1" w:styleId="Heading11">
    <w:name w:val="Heading 11"/>
    <w:basedOn w:val="Normal"/>
    <w:next w:val="Normal"/>
    <w:uiPriority w:val="9"/>
    <w:qFormat/>
    <w:rsid w:val="00ED2D84"/>
    <w:pPr>
      <w:keepNext/>
      <w:keepLines/>
      <w:spacing w:before="240"/>
      <w:outlineLvl w:val="0"/>
    </w:pPr>
    <w:rPr>
      <w:rFonts w:ascii="Calibri Light" w:eastAsia="MS Gothic" w:hAnsi="Calibri Light"/>
      <w:color w:val="2F5496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D2D84"/>
    <w:rPr>
      <w:rFonts w:ascii="Calibri Light" w:eastAsia="MS Gothic" w:hAnsi="Calibri Light" w:cs="Times New Roman"/>
      <w:color w:val="2F5496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2D84"/>
    <w:rPr>
      <w:rFonts w:ascii="Arial" w:eastAsia="Times New Roman" w:hAnsi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2D84"/>
    <w:rPr>
      <w:rFonts w:ascii="Arial" w:hAnsi="Arial" w:cstheme="minorBidi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ED2D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2D84"/>
    <w:rPr>
      <w:vertAlign w:val="superscript"/>
    </w:rPr>
  </w:style>
  <w:style w:type="character" w:customStyle="1" w:styleId="Heading1Char1">
    <w:name w:val="Heading 1 Char1"/>
    <w:basedOn w:val="DefaultParagraphFont"/>
    <w:uiPriority w:val="9"/>
    <w:rsid w:val="00ED2D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A8E44-6B60-49B6-9F0B-09372BB8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Meyers</dc:creator>
  <cp:keywords/>
  <dc:description/>
  <cp:lastModifiedBy>Ximena Cancino</cp:lastModifiedBy>
  <cp:revision>2</cp:revision>
  <dcterms:created xsi:type="dcterms:W3CDTF">2018-12-12T22:48:00Z</dcterms:created>
  <dcterms:modified xsi:type="dcterms:W3CDTF">2018-12-12T22:48:00Z</dcterms:modified>
</cp:coreProperties>
</file>