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01"/>
        <w:tblW w:w="9360" w:type="dxa"/>
        <w:tblLayout w:type="fixed"/>
        <w:tblCellMar>
          <w:top w:w="198" w:type="dxa"/>
        </w:tblCellMar>
        <w:tblLook w:val="0000" w:firstRow="0" w:lastRow="0" w:firstColumn="0" w:lastColumn="0" w:noHBand="0" w:noVBand="0"/>
      </w:tblPr>
      <w:tblGrid>
        <w:gridCol w:w="1217"/>
        <w:gridCol w:w="4543"/>
        <w:gridCol w:w="3600"/>
      </w:tblGrid>
      <w:tr w:rsidR="003B0427" w:rsidRPr="002F6F9B" w:rsidTr="00072ECA">
        <w:trPr>
          <w:trHeight w:val="351"/>
        </w:trPr>
        <w:tc>
          <w:tcPr>
            <w:tcW w:w="93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3B0427" w:rsidRPr="002F6F9B" w:rsidRDefault="003B0427" w:rsidP="00072ECA">
            <w:pPr>
              <w:tabs>
                <w:tab w:val="left" w:pos="-1057"/>
                <w:tab w:val="left" w:pos="-720"/>
                <w:tab w:val="left" w:pos="0"/>
                <w:tab w:val="left" w:pos="141"/>
                <w:tab w:val="left" w:pos="720"/>
                <w:tab w:val="left" w:pos="1155"/>
                <w:tab w:val="right" w:pos="9072"/>
                <w:tab w:val="right" w:pos="9432"/>
              </w:tabs>
              <w:ind w:right="-540"/>
              <w:rPr>
                <w:rFonts w:cs="Arial"/>
                <w:sz w:val="22"/>
                <w:szCs w:val="22"/>
                <w:lang w:val="en-GB"/>
              </w:rPr>
            </w:pPr>
          </w:p>
        </w:tc>
      </w:tr>
      <w:tr w:rsidR="003B0427" w:rsidRPr="00E26C6A" w:rsidTr="00072ECA">
        <w:trPr>
          <w:trHeight w:val="1216"/>
        </w:trPr>
        <w:tc>
          <w:tcPr>
            <w:tcW w:w="12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3B0427" w:rsidRPr="00E26C6A" w:rsidRDefault="003B0427" w:rsidP="00072ECA">
            <w:pPr>
              <w:ind w:right="-540"/>
              <w:rPr>
                <w:rFonts w:cs="Arial"/>
                <w:sz w:val="22"/>
                <w:szCs w:val="22"/>
                <w:lang w:val="en-GB"/>
              </w:rPr>
            </w:pPr>
            <w:r w:rsidRPr="00E26C6A"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321B9AA9" wp14:editId="680907A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12700</wp:posOffset>
                  </wp:positionV>
                  <wp:extent cx="896854" cy="765810"/>
                  <wp:effectExtent l="0" t="0" r="0" b="0"/>
                  <wp:wrapNone/>
                  <wp:docPr id="1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7" t="4031" r="6290" b="38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854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0427" w:rsidRPr="00E26C6A" w:rsidRDefault="003B0427" w:rsidP="00072ECA">
            <w:pPr>
              <w:ind w:right="-540"/>
              <w:rPr>
                <w:rFonts w:cs="Arial"/>
                <w:sz w:val="22"/>
                <w:szCs w:val="22"/>
              </w:rPr>
            </w:pPr>
          </w:p>
        </w:tc>
        <w:tc>
          <w:tcPr>
            <w:tcW w:w="45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3B0427" w:rsidRPr="00E26C6A" w:rsidRDefault="003B0427" w:rsidP="00072EC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-108" w:right="-540"/>
              <w:rPr>
                <w:rFonts w:cs="Arial"/>
                <w:b w:val="0"/>
                <w:bCs w:val="0"/>
                <w:sz w:val="12"/>
                <w:szCs w:val="12"/>
              </w:rPr>
            </w:pPr>
          </w:p>
          <w:p w:rsidR="003B0427" w:rsidRPr="00E26C6A" w:rsidRDefault="003B0427" w:rsidP="00072ECA">
            <w:pPr>
              <w:pStyle w:val="Heading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40"/>
              <w:ind w:left="374" w:right="-540"/>
              <w:rPr>
                <w:rFonts w:cs="Arial"/>
                <w:bCs w:val="0"/>
                <w:sz w:val="22"/>
                <w:szCs w:val="22"/>
              </w:rPr>
            </w:pPr>
            <w:r w:rsidRPr="00E26C6A">
              <w:rPr>
                <w:rFonts w:cs="Arial"/>
                <w:bCs w:val="0"/>
                <w:sz w:val="22"/>
                <w:szCs w:val="22"/>
              </w:rPr>
              <w:t xml:space="preserve">MEMORANDUM OF UNDERSTANDING ON THE CONSERVATION OF MIGRATORY SHARKS 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3B0427" w:rsidRPr="00E26C6A" w:rsidRDefault="003B0427" w:rsidP="00072ECA">
            <w:pPr>
              <w:tabs>
                <w:tab w:val="left" w:pos="-1057"/>
                <w:tab w:val="left" w:pos="-720"/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ind w:left="678" w:right="-540"/>
              <w:rPr>
                <w:rFonts w:cs="Arial"/>
                <w:sz w:val="12"/>
                <w:szCs w:val="12"/>
                <w:lang w:val="en-GB"/>
              </w:rPr>
            </w:pPr>
          </w:p>
          <w:p w:rsidR="003B0427" w:rsidRPr="00E26C6A" w:rsidRDefault="003B0427" w:rsidP="005317D7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ind w:left="86" w:right="-540"/>
              <w:rPr>
                <w:rFonts w:cs="Arial"/>
                <w:sz w:val="22"/>
                <w:szCs w:val="22"/>
                <w:lang w:val="en-GB"/>
              </w:rPr>
            </w:pPr>
            <w:r w:rsidRPr="00E26C6A">
              <w:rPr>
                <w:rFonts w:cs="Arial"/>
                <w:sz w:val="22"/>
                <w:szCs w:val="22"/>
                <w:lang w:val="en-GB"/>
              </w:rPr>
              <w:t>CMS/Sharks/MOS3/</w:t>
            </w:r>
            <w:r w:rsidR="00052AC0">
              <w:rPr>
                <w:rFonts w:cs="Arial"/>
                <w:sz w:val="22"/>
                <w:szCs w:val="22"/>
                <w:lang w:val="en-GB"/>
              </w:rPr>
              <w:t>CRP5</w:t>
            </w:r>
          </w:p>
          <w:p w:rsidR="003B0427" w:rsidRPr="00E26C6A" w:rsidRDefault="005317D7" w:rsidP="005317D7">
            <w:pPr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pacing w:before="40" w:after="40"/>
              <w:ind w:left="86" w:right="-540"/>
              <w:rPr>
                <w:rFonts w:cs="Arial"/>
                <w:sz w:val="22"/>
                <w:szCs w:val="22"/>
                <w:lang w:val="en-GB"/>
              </w:rPr>
            </w:pPr>
            <w:r w:rsidRPr="00E26C6A">
              <w:rPr>
                <w:rFonts w:cs="Arial"/>
                <w:sz w:val="22"/>
                <w:szCs w:val="22"/>
                <w:lang w:val="en-GB"/>
              </w:rPr>
              <w:t xml:space="preserve">12 </w:t>
            </w:r>
            <w:r w:rsidR="003B0427" w:rsidRPr="00E26C6A">
              <w:rPr>
                <w:rFonts w:cs="Arial"/>
                <w:sz w:val="22"/>
                <w:szCs w:val="22"/>
                <w:lang w:val="en-GB"/>
              </w:rPr>
              <w:t>December 2018</w:t>
            </w:r>
          </w:p>
          <w:p w:rsidR="003B0427" w:rsidRPr="00E26C6A" w:rsidRDefault="003B0427" w:rsidP="00072ECA">
            <w:pPr>
              <w:spacing w:before="40" w:after="40"/>
              <w:ind w:left="-14" w:right="-540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:rsidR="003B0427" w:rsidRPr="00E26C6A" w:rsidRDefault="003B0427" w:rsidP="003B0427">
      <w:pPr>
        <w:rPr>
          <w:rFonts w:cs="Arial"/>
          <w:b/>
          <w:sz w:val="22"/>
          <w:szCs w:val="22"/>
        </w:rPr>
      </w:pPr>
    </w:p>
    <w:p w:rsidR="00571D92" w:rsidRPr="00E26C6A" w:rsidRDefault="00571D92" w:rsidP="00571D92">
      <w:pPr>
        <w:jc w:val="both"/>
        <w:rPr>
          <w:rFonts w:cs="Arial"/>
          <w:b/>
          <w:sz w:val="22"/>
          <w:szCs w:val="22"/>
        </w:rPr>
      </w:pPr>
    </w:p>
    <w:p w:rsidR="00052AC0" w:rsidRDefault="00052AC0" w:rsidP="002F55E4">
      <w:pPr>
        <w:tabs>
          <w:tab w:val="left" w:pos="315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(From </w:t>
      </w:r>
      <w:bookmarkStart w:id="0" w:name="_GoBack"/>
      <w:bookmarkEnd w:id="0"/>
      <w:r w:rsidRPr="00052AC0">
        <w:rPr>
          <w:sz w:val="22"/>
          <w:szCs w:val="22"/>
        </w:rPr>
        <w:t>CMS/Sharks/MOS3/Doc.13.1/Annex 2)</w:t>
      </w:r>
    </w:p>
    <w:p w:rsidR="00052AC0" w:rsidRPr="00052AC0" w:rsidRDefault="00052AC0" w:rsidP="002F55E4">
      <w:pPr>
        <w:tabs>
          <w:tab w:val="left" w:pos="3150"/>
        </w:tabs>
        <w:jc w:val="center"/>
        <w:rPr>
          <w:sz w:val="22"/>
          <w:szCs w:val="22"/>
        </w:rPr>
      </w:pPr>
    </w:p>
    <w:p w:rsidR="002F55E4" w:rsidRPr="00E26C6A" w:rsidRDefault="00571D92" w:rsidP="002F55E4">
      <w:pPr>
        <w:tabs>
          <w:tab w:val="left" w:pos="3150"/>
        </w:tabs>
        <w:jc w:val="center"/>
        <w:rPr>
          <w:b/>
          <w:sz w:val="22"/>
          <w:szCs w:val="22"/>
        </w:rPr>
      </w:pPr>
      <w:r w:rsidRPr="00E26C6A">
        <w:rPr>
          <w:b/>
          <w:sz w:val="22"/>
          <w:szCs w:val="22"/>
        </w:rPr>
        <w:t>CAPACITY-BUILDING PROGRAMME FOR THE SHARKS MOU</w:t>
      </w:r>
    </w:p>
    <w:p w:rsidR="002F55E4" w:rsidRPr="00E26C6A" w:rsidRDefault="002F55E4" w:rsidP="002F55E4">
      <w:pPr>
        <w:tabs>
          <w:tab w:val="left" w:pos="3150"/>
        </w:tabs>
        <w:jc w:val="center"/>
        <w:rPr>
          <w:b/>
          <w:sz w:val="22"/>
          <w:szCs w:val="22"/>
        </w:rPr>
      </w:pPr>
    </w:p>
    <w:p w:rsidR="002F55E4" w:rsidRPr="00E26C6A" w:rsidRDefault="002F55E4" w:rsidP="002F55E4">
      <w:pPr>
        <w:tabs>
          <w:tab w:val="left" w:pos="3150"/>
        </w:tabs>
        <w:jc w:val="center"/>
        <w:rPr>
          <w:b/>
          <w:sz w:val="22"/>
          <w:szCs w:val="22"/>
        </w:rPr>
      </w:pPr>
    </w:p>
    <w:p w:rsidR="00571D92" w:rsidRPr="00E26C6A" w:rsidRDefault="00A31403" w:rsidP="00571D92">
      <w:pPr>
        <w:numPr>
          <w:ilvl w:val="0"/>
          <w:numId w:val="1"/>
        </w:numPr>
        <w:shd w:val="clear" w:color="auto" w:fill="FFFFFF"/>
        <w:spacing w:after="288"/>
        <w:ind w:left="540" w:hanging="540"/>
        <w:contextualSpacing/>
        <w:jc w:val="both"/>
        <w:rPr>
          <w:sz w:val="22"/>
          <w:szCs w:val="22"/>
        </w:rPr>
      </w:pPr>
      <w:r w:rsidRPr="00E26C6A">
        <w:rPr>
          <w:sz w:val="22"/>
          <w:szCs w:val="22"/>
        </w:rPr>
        <w:t>The Capacity Buil</w:t>
      </w:r>
      <w:r w:rsidR="00571D92" w:rsidRPr="00E26C6A">
        <w:rPr>
          <w:sz w:val="22"/>
          <w:szCs w:val="22"/>
        </w:rPr>
        <w:t xml:space="preserve">ding </w:t>
      </w:r>
      <w:proofErr w:type="spellStart"/>
      <w:r w:rsidR="00571D92" w:rsidRPr="00E26C6A">
        <w:rPr>
          <w:sz w:val="22"/>
          <w:szCs w:val="22"/>
        </w:rPr>
        <w:t>Programme</w:t>
      </w:r>
      <w:proofErr w:type="spellEnd"/>
      <w:r w:rsidR="00571D92" w:rsidRPr="00E26C6A">
        <w:rPr>
          <w:sz w:val="22"/>
          <w:szCs w:val="22"/>
        </w:rPr>
        <w:t xml:space="preserve"> aims at guiding the Sharks MOU Signatories, the Advisory Committee, Secretariat and Cooperating Partners to improve overall capacity that is required to implement the Sharks MOU Conservation Plan. </w:t>
      </w:r>
    </w:p>
    <w:p w:rsidR="00571D92" w:rsidRPr="00E26C6A" w:rsidRDefault="00571D92" w:rsidP="00571D92">
      <w:pPr>
        <w:shd w:val="clear" w:color="auto" w:fill="FFFFFF"/>
        <w:spacing w:after="288"/>
        <w:contextualSpacing/>
        <w:jc w:val="both"/>
        <w:rPr>
          <w:sz w:val="22"/>
          <w:szCs w:val="22"/>
        </w:rPr>
      </w:pPr>
    </w:p>
    <w:p w:rsidR="00571D92" w:rsidRPr="00E26C6A" w:rsidRDefault="00571D92" w:rsidP="00A31403">
      <w:pPr>
        <w:numPr>
          <w:ilvl w:val="0"/>
          <w:numId w:val="1"/>
        </w:numPr>
        <w:shd w:val="clear" w:color="auto" w:fill="FFFFFF"/>
        <w:spacing w:after="120"/>
        <w:ind w:left="539" w:hanging="539"/>
        <w:jc w:val="both"/>
        <w:rPr>
          <w:sz w:val="22"/>
          <w:szCs w:val="22"/>
        </w:rPr>
      </w:pPr>
      <w:r w:rsidRPr="00E26C6A">
        <w:rPr>
          <w:sz w:val="22"/>
          <w:szCs w:val="22"/>
        </w:rPr>
        <w:t xml:space="preserve">The </w:t>
      </w:r>
      <w:proofErr w:type="spellStart"/>
      <w:r w:rsidRPr="00E26C6A">
        <w:rPr>
          <w:sz w:val="22"/>
          <w:szCs w:val="22"/>
        </w:rPr>
        <w:t>Programme</w:t>
      </w:r>
      <w:proofErr w:type="spellEnd"/>
      <w:r w:rsidRPr="00E26C6A">
        <w:rPr>
          <w:sz w:val="22"/>
          <w:szCs w:val="22"/>
        </w:rPr>
        <w:t xml:space="preserve"> includes key activities of highest priority, which are intended to address the main capacity-building needs of Signatories. The </w:t>
      </w:r>
      <w:proofErr w:type="spellStart"/>
      <w:r w:rsidRPr="00E26C6A">
        <w:rPr>
          <w:sz w:val="22"/>
          <w:szCs w:val="22"/>
        </w:rPr>
        <w:t>Programme</w:t>
      </w:r>
      <w:proofErr w:type="spellEnd"/>
      <w:r w:rsidRPr="00E26C6A">
        <w:rPr>
          <w:sz w:val="22"/>
          <w:szCs w:val="22"/>
        </w:rPr>
        <w:t xml:space="preserve"> </w:t>
      </w:r>
      <w:r w:rsidR="00861933">
        <w:rPr>
          <w:sz w:val="22"/>
          <w:szCs w:val="22"/>
        </w:rPr>
        <w:t>should</w:t>
      </w:r>
      <w:r w:rsidRPr="00E26C6A">
        <w:rPr>
          <w:sz w:val="22"/>
          <w:szCs w:val="22"/>
        </w:rPr>
        <w:t xml:space="preserve"> be updated regularly at each MOS and </w:t>
      </w:r>
      <w:r w:rsidR="00861933">
        <w:rPr>
          <w:sz w:val="22"/>
          <w:szCs w:val="22"/>
        </w:rPr>
        <w:t>should</w:t>
      </w:r>
      <w:r w:rsidRPr="00E26C6A">
        <w:rPr>
          <w:sz w:val="22"/>
          <w:szCs w:val="22"/>
        </w:rPr>
        <w:t xml:space="preserve"> be based on capacity-building needs expressed by Signatories. To evaluate such needs, the following procedures are foreseen:</w:t>
      </w:r>
    </w:p>
    <w:p w:rsidR="00571D92" w:rsidRPr="00E26C6A" w:rsidRDefault="00571D92" w:rsidP="00A31403">
      <w:pPr>
        <w:numPr>
          <w:ilvl w:val="1"/>
          <w:numId w:val="1"/>
        </w:numPr>
        <w:shd w:val="clear" w:color="auto" w:fill="FFFFFF"/>
        <w:spacing w:after="80"/>
        <w:ind w:left="1077" w:hanging="357"/>
        <w:jc w:val="both"/>
        <w:rPr>
          <w:sz w:val="22"/>
          <w:szCs w:val="22"/>
        </w:rPr>
      </w:pPr>
      <w:r w:rsidRPr="00E26C6A">
        <w:rPr>
          <w:sz w:val="22"/>
          <w:szCs w:val="22"/>
        </w:rPr>
        <w:t>Survey by the Secretariat (each triennium)</w:t>
      </w:r>
      <w:r w:rsidR="00A31403" w:rsidRPr="00E26C6A">
        <w:rPr>
          <w:sz w:val="22"/>
          <w:szCs w:val="22"/>
        </w:rPr>
        <w:t>;</w:t>
      </w:r>
    </w:p>
    <w:p w:rsidR="00571D92" w:rsidRPr="00E26C6A" w:rsidRDefault="00571D92" w:rsidP="00571D92">
      <w:pPr>
        <w:numPr>
          <w:ilvl w:val="1"/>
          <w:numId w:val="1"/>
        </w:numPr>
        <w:shd w:val="clear" w:color="auto" w:fill="FFFFFF"/>
        <w:spacing w:after="288"/>
        <w:ind w:left="1080"/>
        <w:contextualSpacing/>
        <w:jc w:val="both"/>
        <w:rPr>
          <w:sz w:val="22"/>
          <w:szCs w:val="22"/>
        </w:rPr>
      </w:pPr>
      <w:r w:rsidRPr="00E26C6A">
        <w:rPr>
          <w:sz w:val="22"/>
          <w:szCs w:val="22"/>
        </w:rPr>
        <w:t xml:space="preserve">Direct expression of needs by Signatories to the Secretariat (national report and any time </w:t>
      </w:r>
      <w:proofErr w:type="spellStart"/>
      <w:r w:rsidRPr="00E26C6A">
        <w:rPr>
          <w:sz w:val="22"/>
          <w:szCs w:val="22"/>
        </w:rPr>
        <w:t>intersessionally</w:t>
      </w:r>
      <w:proofErr w:type="spellEnd"/>
      <w:r w:rsidRPr="00E26C6A">
        <w:rPr>
          <w:sz w:val="22"/>
          <w:szCs w:val="22"/>
        </w:rPr>
        <w:t>)</w:t>
      </w:r>
      <w:r w:rsidR="00A31403" w:rsidRPr="00E26C6A">
        <w:rPr>
          <w:sz w:val="22"/>
          <w:szCs w:val="22"/>
        </w:rPr>
        <w:t>.</w:t>
      </w:r>
    </w:p>
    <w:p w:rsidR="00571D92" w:rsidRPr="00E26C6A" w:rsidRDefault="00571D92" w:rsidP="00571D92">
      <w:pPr>
        <w:shd w:val="clear" w:color="auto" w:fill="FFFFFF"/>
        <w:spacing w:after="288"/>
        <w:ind w:left="1440"/>
        <w:contextualSpacing/>
        <w:jc w:val="both"/>
        <w:rPr>
          <w:sz w:val="22"/>
          <w:szCs w:val="22"/>
        </w:rPr>
      </w:pPr>
    </w:p>
    <w:p w:rsidR="00571D92" w:rsidRPr="00E26C6A" w:rsidRDefault="00571D92" w:rsidP="00571D92">
      <w:pPr>
        <w:numPr>
          <w:ilvl w:val="0"/>
          <w:numId w:val="1"/>
        </w:numPr>
        <w:shd w:val="clear" w:color="auto" w:fill="FFFFFF"/>
        <w:spacing w:after="288"/>
        <w:ind w:left="540" w:hanging="540"/>
        <w:contextualSpacing/>
        <w:jc w:val="both"/>
        <w:rPr>
          <w:sz w:val="22"/>
          <w:szCs w:val="22"/>
        </w:rPr>
      </w:pPr>
      <w:r w:rsidRPr="00E26C6A">
        <w:rPr>
          <w:sz w:val="22"/>
          <w:szCs w:val="22"/>
        </w:rPr>
        <w:t xml:space="preserve">The implementation of the </w:t>
      </w:r>
      <w:proofErr w:type="spellStart"/>
      <w:r w:rsidRPr="00E26C6A">
        <w:rPr>
          <w:sz w:val="22"/>
          <w:szCs w:val="22"/>
        </w:rPr>
        <w:t>Programme</w:t>
      </w:r>
      <w:proofErr w:type="spellEnd"/>
      <w:r w:rsidRPr="00E26C6A">
        <w:rPr>
          <w:sz w:val="22"/>
          <w:szCs w:val="22"/>
        </w:rPr>
        <w:t xml:space="preserve"> </w:t>
      </w:r>
      <w:r w:rsidR="00861933">
        <w:rPr>
          <w:sz w:val="22"/>
          <w:szCs w:val="22"/>
        </w:rPr>
        <w:t>should</w:t>
      </w:r>
      <w:r w:rsidRPr="00E26C6A">
        <w:rPr>
          <w:sz w:val="22"/>
          <w:szCs w:val="22"/>
        </w:rPr>
        <w:t xml:space="preserve"> be funded through voluntary contributions and in-kind contributions of Signatories and other donor countries or organizations.</w:t>
      </w:r>
    </w:p>
    <w:p w:rsidR="00571D92" w:rsidRPr="00E26C6A" w:rsidRDefault="00571D92" w:rsidP="00571D92">
      <w:pPr>
        <w:shd w:val="clear" w:color="auto" w:fill="FFFFFF"/>
        <w:spacing w:after="288"/>
        <w:contextualSpacing/>
        <w:jc w:val="both"/>
        <w:rPr>
          <w:sz w:val="22"/>
          <w:szCs w:val="22"/>
        </w:rPr>
      </w:pPr>
    </w:p>
    <w:p w:rsidR="00571D92" w:rsidRPr="00E26C6A" w:rsidRDefault="00571D92" w:rsidP="00571D92">
      <w:pPr>
        <w:numPr>
          <w:ilvl w:val="0"/>
          <w:numId w:val="1"/>
        </w:numPr>
        <w:shd w:val="clear" w:color="auto" w:fill="FFFFFF"/>
        <w:spacing w:after="288"/>
        <w:ind w:left="540" w:hanging="540"/>
        <w:contextualSpacing/>
        <w:jc w:val="both"/>
        <w:rPr>
          <w:sz w:val="22"/>
          <w:szCs w:val="22"/>
        </w:rPr>
      </w:pPr>
      <w:r w:rsidRPr="00E26C6A">
        <w:rPr>
          <w:sz w:val="22"/>
          <w:szCs w:val="22"/>
        </w:rPr>
        <w:t xml:space="preserve">Wherever possible, CMS is requested to support such activities in the context of CMS related outreach and capacity building activities. </w:t>
      </w:r>
    </w:p>
    <w:p w:rsidR="00571D92" w:rsidRPr="00E26C6A" w:rsidRDefault="00571D92" w:rsidP="00571D92">
      <w:pPr>
        <w:shd w:val="clear" w:color="auto" w:fill="FFFFFF"/>
        <w:spacing w:after="288"/>
        <w:contextualSpacing/>
        <w:jc w:val="both"/>
        <w:rPr>
          <w:sz w:val="22"/>
          <w:szCs w:val="22"/>
        </w:rPr>
      </w:pPr>
    </w:p>
    <w:p w:rsidR="00571D92" w:rsidRPr="00E26C6A" w:rsidRDefault="00571D92" w:rsidP="00571D92">
      <w:pPr>
        <w:numPr>
          <w:ilvl w:val="0"/>
          <w:numId w:val="1"/>
        </w:numPr>
        <w:shd w:val="clear" w:color="auto" w:fill="FFFFFF"/>
        <w:spacing w:after="288"/>
        <w:ind w:left="540" w:hanging="540"/>
        <w:contextualSpacing/>
        <w:jc w:val="both"/>
        <w:rPr>
          <w:sz w:val="22"/>
          <w:szCs w:val="22"/>
        </w:rPr>
      </w:pPr>
      <w:r w:rsidRPr="00E26C6A">
        <w:rPr>
          <w:sz w:val="22"/>
          <w:szCs w:val="22"/>
        </w:rPr>
        <w:t xml:space="preserve">As appropriate and feasible, capacity building </w:t>
      </w:r>
      <w:r w:rsidR="00861933">
        <w:rPr>
          <w:sz w:val="22"/>
          <w:szCs w:val="22"/>
        </w:rPr>
        <w:t>should</w:t>
      </w:r>
      <w:r w:rsidRPr="00E26C6A">
        <w:rPr>
          <w:sz w:val="22"/>
          <w:szCs w:val="22"/>
        </w:rPr>
        <w:t xml:space="preserve"> be undertaken in cooperation with other relevant organizations, in particular, but not limited to </w:t>
      </w:r>
      <w:r w:rsidR="00043216">
        <w:rPr>
          <w:sz w:val="22"/>
          <w:szCs w:val="22"/>
        </w:rPr>
        <w:t>CITES, FAO, RFMOs and R</w:t>
      </w:r>
      <w:r w:rsidR="00FF7005">
        <w:rPr>
          <w:sz w:val="22"/>
          <w:szCs w:val="22"/>
        </w:rPr>
        <w:t>SC</w:t>
      </w:r>
      <w:r w:rsidR="00967857">
        <w:rPr>
          <w:sz w:val="22"/>
          <w:szCs w:val="22"/>
        </w:rPr>
        <w:t xml:space="preserve"> and AP,</w:t>
      </w:r>
      <w:r w:rsidR="00FF7005">
        <w:rPr>
          <w:sz w:val="22"/>
          <w:szCs w:val="22"/>
        </w:rPr>
        <w:t xml:space="preserve"> </w:t>
      </w:r>
      <w:r w:rsidRPr="00E26C6A">
        <w:rPr>
          <w:sz w:val="22"/>
          <w:szCs w:val="22"/>
        </w:rPr>
        <w:t>as well as the non-profit and private sector.</w:t>
      </w:r>
    </w:p>
    <w:p w:rsidR="00571D92" w:rsidRPr="00E26C6A" w:rsidRDefault="00571D92" w:rsidP="00571D92">
      <w:pPr>
        <w:ind w:left="720"/>
        <w:contextualSpacing/>
        <w:rPr>
          <w:sz w:val="22"/>
          <w:szCs w:val="22"/>
        </w:rPr>
      </w:pPr>
    </w:p>
    <w:p w:rsidR="00571D92" w:rsidRPr="00E26C6A" w:rsidRDefault="00571D92" w:rsidP="00571D92">
      <w:pPr>
        <w:jc w:val="both"/>
        <w:rPr>
          <w:rFonts w:cs="Arial"/>
          <w:b/>
          <w:sz w:val="22"/>
          <w:szCs w:val="22"/>
        </w:rPr>
        <w:sectPr w:rsidR="00571D92" w:rsidRPr="00E26C6A" w:rsidSect="00571D92">
          <w:headerReference w:type="default" r:id="rId9"/>
          <w:footerReference w:type="even" r:id="rId10"/>
          <w:headerReference w:type="first" r:id="rId11"/>
          <w:pgSz w:w="12240" w:h="15840"/>
          <w:pgMar w:top="993" w:right="1440" w:bottom="1440" w:left="1440" w:header="284" w:footer="720" w:gutter="0"/>
          <w:cols w:space="720"/>
          <w:titlePg/>
          <w:docGrid w:linePitch="360"/>
        </w:sectPr>
      </w:pPr>
    </w:p>
    <w:tbl>
      <w:tblPr>
        <w:tblW w:w="524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7"/>
        <w:gridCol w:w="2379"/>
        <w:gridCol w:w="1406"/>
        <w:gridCol w:w="4714"/>
      </w:tblGrid>
      <w:tr w:rsidR="00A564A5" w:rsidRPr="00571D92" w:rsidTr="00A564A5">
        <w:trPr>
          <w:cantSplit/>
          <w:trHeight w:val="466"/>
          <w:tblHeader/>
        </w:trPr>
        <w:tc>
          <w:tcPr>
            <w:tcW w:w="1953" w:type="pct"/>
            <w:tcBorders>
              <w:bottom w:val="single" w:sz="4" w:space="0" w:color="000000"/>
            </w:tcBorders>
            <w:shd w:val="clear" w:color="auto" w:fill="D0CECE" w:themeFill="background2" w:themeFillShade="E6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b/>
                <w:sz w:val="20"/>
                <w:szCs w:val="20"/>
              </w:rPr>
            </w:pPr>
            <w:r w:rsidRPr="00571D92">
              <w:rPr>
                <w:rFonts w:cs="Arial"/>
                <w:b/>
                <w:sz w:val="20"/>
                <w:szCs w:val="20"/>
              </w:rPr>
              <w:lastRenderedPageBreak/>
              <w:t>Activities</w:t>
            </w:r>
          </w:p>
        </w:tc>
        <w:tc>
          <w:tcPr>
            <w:tcW w:w="853" w:type="pct"/>
            <w:tcBorders>
              <w:bottom w:val="single" w:sz="4" w:space="0" w:color="000000"/>
            </w:tcBorders>
            <w:shd w:val="clear" w:color="auto" w:fill="D0CECE" w:themeFill="background2" w:themeFillShade="E6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b/>
                <w:sz w:val="20"/>
                <w:szCs w:val="20"/>
              </w:rPr>
            </w:pPr>
            <w:r w:rsidRPr="00571D92">
              <w:rPr>
                <w:rFonts w:cs="Arial"/>
                <w:b/>
                <w:sz w:val="20"/>
                <w:szCs w:val="20"/>
              </w:rPr>
              <w:t>Implementing Entity</w:t>
            </w:r>
          </w:p>
        </w:tc>
        <w:tc>
          <w:tcPr>
            <w:tcW w:w="504" w:type="pct"/>
            <w:tcBorders>
              <w:bottom w:val="single" w:sz="4" w:space="0" w:color="000000"/>
            </w:tcBorders>
            <w:shd w:val="clear" w:color="auto" w:fill="D0CECE" w:themeFill="background2" w:themeFillShade="E6"/>
          </w:tcPr>
          <w:p w:rsidR="00571D92" w:rsidRPr="00571D92" w:rsidRDefault="00571D92" w:rsidP="00571D92">
            <w:pPr>
              <w:rPr>
                <w:rFonts w:cs="Arial"/>
                <w:b/>
                <w:sz w:val="20"/>
                <w:szCs w:val="20"/>
              </w:rPr>
            </w:pPr>
            <w:r w:rsidRPr="00571D92">
              <w:rPr>
                <w:rFonts w:cs="Arial"/>
                <w:b/>
                <w:sz w:val="20"/>
                <w:szCs w:val="20"/>
              </w:rPr>
              <w:t>Priority</w:t>
            </w:r>
            <w:r w:rsidRPr="00571D92">
              <w:rPr>
                <w:rFonts w:cs="Arial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690" w:type="pct"/>
            <w:tcBorders>
              <w:bottom w:val="single" w:sz="4" w:space="0" w:color="000000"/>
            </w:tcBorders>
            <w:shd w:val="clear" w:color="auto" w:fill="D0CECE" w:themeFill="background2" w:themeFillShade="E6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b/>
                <w:sz w:val="20"/>
                <w:szCs w:val="20"/>
              </w:rPr>
            </w:pPr>
            <w:r w:rsidRPr="00571D92">
              <w:rPr>
                <w:rFonts w:cs="Arial"/>
                <w:b/>
                <w:sz w:val="20"/>
                <w:szCs w:val="20"/>
              </w:rPr>
              <w:t>Advice by the AC</w:t>
            </w: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20" w:after="120"/>
              <w:ind w:left="342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Technical Capacity: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Develop or update/translate and disseminate identification guides;</w:t>
            </w:r>
          </w:p>
        </w:tc>
        <w:tc>
          <w:tcPr>
            <w:tcW w:w="85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 xml:space="preserve">Signatories 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AC</w:t>
            </w:r>
          </w:p>
        </w:tc>
        <w:tc>
          <w:tcPr>
            <w:tcW w:w="504" w:type="pct"/>
            <w:tcBorders>
              <w:top w:val="single" w:sz="4" w:space="0" w:color="000000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0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2F55E4">
            <w:pPr>
              <w:jc w:val="both"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ID guides should be developed based on the needs of the region. Surveys might have to be undertaken to develop a checklist of species that occur in certain areas and regions; Cooperation with CITES and FAO is recommended.</w:t>
            </w:r>
          </w:p>
          <w:p w:rsidR="00571D92" w:rsidRPr="00571D92" w:rsidRDefault="00571D92" w:rsidP="002F55E4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Develop CMS/CITES ID guide in multiple languages.</w:t>
            </w:r>
          </w:p>
        </w:tc>
        <w:tc>
          <w:tcPr>
            <w:tcW w:w="85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Signatories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AC</w:t>
            </w:r>
          </w:p>
        </w:tc>
        <w:tc>
          <w:tcPr>
            <w:tcW w:w="504" w:type="pct"/>
            <w:tcBorders>
              <w:top w:val="single" w:sz="4" w:space="0" w:color="000000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0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2F55E4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Identify existing or develop training materials, including for Training of Trainers (TOT), on:</w:t>
            </w:r>
          </w:p>
          <w:p w:rsidR="00571D92" w:rsidRPr="00571D92" w:rsidRDefault="00571D92" w:rsidP="00571D92">
            <w:pPr>
              <w:widowControl/>
              <w:numPr>
                <w:ilvl w:val="1"/>
                <w:numId w:val="3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species identification;</w:t>
            </w:r>
          </w:p>
          <w:p w:rsidR="00571D92" w:rsidRPr="00571D92" w:rsidRDefault="00571D92" w:rsidP="00571D92">
            <w:pPr>
              <w:widowControl/>
              <w:numPr>
                <w:ilvl w:val="1"/>
                <w:numId w:val="3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documentation of (standardized) protocols;</w:t>
            </w:r>
          </w:p>
          <w:p w:rsidR="00571D92" w:rsidRPr="00571D92" w:rsidRDefault="00571D92" w:rsidP="00571D92">
            <w:pPr>
              <w:widowControl/>
              <w:numPr>
                <w:ilvl w:val="1"/>
                <w:numId w:val="3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data collection (incl. preliminary analysis, data storage) and reporting;</w:t>
            </w:r>
          </w:p>
          <w:p w:rsidR="00571D92" w:rsidRPr="00571D92" w:rsidRDefault="00571D92" w:rsidP="00571D92">
            <w:pPr>
              <w:widowControl/>
              <w:numPr>
                <w:ilvl w:val="1"/>
                <w:numId w:val="3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proofErr w:type="gramStart"/>
            <w:r w:rsidRPr="00571D92">
              <w:rPr>
                <w:rFonts w:cs="Arial"/>
                <w:sz w:val="20"/>
                <w:szCs w:val="20"/>
              </w:rPr>
              <w:t>safe</w:t>
            </w:r>
            <w:proofErr w:type="gramEnd"/>
            <w:r w:rsidRPr="00571D92">
              <w:rPr>
                <w:rFonts w:cs="Arial"/>
                <w:sz w:val="20"/>
                <w:szCs w:val="20"/>
              </w:rPr>
              <w:t xml:space="preserve"> handling and release techniques.</w:t>
            </w:r>
          </w:p>
        </w:tc>
        <w:tc>
          <w:tcPr>
            <w:tcW w:w="85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Signatories in cooperation with RFMOs</w:t>
            </w:r>
          </w:p>
        </w:tc>
        <w:tc>
          <w:tcPr>
            <w:tcW w:w="504" w:type="pct"/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0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2F55E4">
            <w:pPr>
              <w:jc w:val="both"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FAO provides already training materials on data collection, data analysis and reporting; the National Oceanic and Atmospheric Administration of the USA (NOAA) and others provide guides on safe handling and release techniques.</w:t>
            </w:r>
          </w:p>
          <w:p w:rsidR="00571D92" w:rsidRPr="00571D92" w:rsidRDefault="00571D92" w:rsidP="002F55E4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564A5" w:rsidRPr="00571D92" w:rsidTr="00A564A5">
        <w:trPr>
          <w:cantSplit/>
          <w:trHeight w:val="1317"/>
        </w:trPr>
        <w:tc>
          <w:tcPr>
            <w:tcW w:w="1953" w:type="pct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Provide training or inform Signatories about appropriate training workshops occurring in the region.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 xml:space="preserve">Signatories 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AC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Cooperating Partners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Secretariat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690" w:type="pct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2F55E4">
            <w:pPr>
              <w:jc w:val="both"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Signatories with capacity-building needs may be invited to regional workshops held by other Signatories, relevant organizations or Cooperating Partners.</w:t>
            </w: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Facilitates the exchange of knowledge and expertise between Signatories within and across regions.</w:t>
            </w:r>
          </w:p>
        </w:tc>
        <w:tc>
          <w:tcPr>
            <w:tcW w:w="853" w:type="pct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Signatories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AC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Cooperating Partners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Secretariat</w:t>
            </w:r>
          </w:p>
        </w:tc>
        <w:tc>
          <w:tcPr>
            <w:tcW w:w="504" w:type="pct"/>
            <w:tcBorders>
              <w:bottom w:val="single" w:sz="4" w:space="0" w:color="auto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690" w:type="pct"/>
            <w:tcBorders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2F55E4">
            <w:pPr>
              <w:jc w:val="both"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This may be in form of training workshops or provision of training materials; repository of training materials</w:t>
            </w:r>
          </w:p>
          <w:p w:rsidR="00571D92" w:rsidRPr="00571D92" w:rsidRDefault="00571D92" w:rsidP="002F55E4">
            <w:pPr>
              <w:jc w:val="both"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Provision of databases, and providing assistance with analysis and reporting</w:t>
            </w:r>
          </w:p>
          <w:p w:rsidR="00571D92" w:rsidRPr="00571D92" w:rsidRDefault="00571D92" w:rsidP="002F55E4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20" w:after="120"/>
              <w:ind w:left="342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lastRenderedPageBreak/>
              <w:t>Policy Development: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2F55E4">
            <w:pPr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top w:val="single" w:sz="4" w:space="0" w:color="000000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Review and provide guidance on national strategies and legislation.</w:t>
            </w:r>
          </w:p>
        </w:tc>
        <w:tc>
          <w:tcPr>
            <w:tcW w:w="853" w:type="pct"/>
            <w:tcBorders>
              <w:top w:val="single" w:sz="4" w:space="0" w:color="000000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Signatories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Secretariat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Cooperating Partners</w:t>
            </w:r>
          </w:p>
        </w:tc>
        <w:tc>
          <w:tcPr>
            <w:tcW w:w="504" w:type="pct"/>
            <w:tcBorders>
              <w:top w:val="single" w:sz="4" w:space="0" w:color="000000"/>
              <w:bottom w:val="single" w:sz="4" w:space="0" w:color="auto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1</w:t>
            </w:r>
          </w:p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upon request</w:t>
            </w:r>
          </w:p>
        </w:tc>
        <w:tc>
          <w:tcPr>
            <w:tcW w:w="1690" w:type="pct"/>
            <w:tcBorders>
              <w:top w:val="single" w:sz="4" w:space="0" w:color="000000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2F55E4">
            <w:pPr>
              <w:jc w:val="both"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Upon request by Signatories;</w:t>
            </w:r>
          </w:p>
          <w:p w:rsidR="00571D92" w:rsidRPr="00571D92" w:rsidRDefault="00571D92" w:rsidP="002F55E4">
            <w:pPr>
              <w:jc w:val="both"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Regional Fisheries Bodies (RFBs) may be able to review strategies.</w:t>
            </w:r>
          </w:p>
        </w:tc>
      </w:tr>
      <w:tr w:rsidR="00571D92" w:rsidRPr="00571D92" w:rsidTr="00A564A5">
        <w:trPr>
          <w:cantSplit/>
          <w:trHeight w:val="293"/>
        </w:trPr>
        <w:tc>
          <w:tcPr>
            <w:tcW w:w="5000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20" w:after="120"/>
              <w:ind w:left="342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Compliance and Enforcement of CMS-listed species:</w:t>
            </w: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Provide training and develop training materials for national staff concerned with surveillance and enforcement.</w:t>
            </w:r>
          </w:p>
        </w:tc>
        <w:tc>
          <w:tcPr>
            <w:tcW w:w="853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Signatories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Cooperating Partners</w:t>
            </w:r>
          </w:p>
        </w:tc>
        <w:tc>
          <w:tcPr>
            <w:tcW w:w="504" w:type="pct"/>
            <w:tcBorders>
              <w:bottom w:val="single" w:sz="4" w:space="0" w:color="000000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0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 xml:space="preserve">RFBs might be able to provide assistance </w:t>
            </w: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20" w:after="120"/>
              <w:ind w:left="342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Habitat conservation and rehabilitation: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Assist Signatories with marine spatial planning.</w:t>
            </w:r>
          </w:p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 xml:space="preserve">Signatories 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AC</w:t>
            </w:r>
          </w:p>
        </w:tc>
        <w:tc>
          <w:tcPr>
            <w:tcW w:w="504" w:type="pct"/>
            <w:tcBorders>
              <w:top w:val="single" w:sz="4" w:space="0" w:color="000000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690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 xml:space="preserve">Please refer to CMS/Sharks/Outcome </w:t>
            </w:r>
            <w:r w:rsidR="00052AC0">
              <w:rPr>
                <w:rFonts w:cs="Arial"/>
                <w:sz w:val="20"/>
                <w:szCs w:val="20"/>
                <w:highlight w:val="yellow"/>
              </w:rPr>
              <w:t>3.x</w:t>
            </w:r>
            <w:r w:rsidRPr="00571D92">
              <w:rPr>
                <w:rFonts w:cs="Arial"/>
                <w:sz w:val="20"/>
                <w:szCs w:val="20"/>
              </w:rPr>
              <w:t xml:space="preserve">. </w:t>
            </w:r>
          </w:p>
        </w:tc>
      </w:tr>
      <w:tr w:rsidR="00A564A5" w:rsidRPr="00571D92" w:rsidTr="00A564A5">
        <w:trPr>
          <w:cantSplit/>
          <w:trHeight w:val="606"/>
        </w:trPr>
        <w:tc>
          <w:tcPr>
            <w:tcW w:w="1953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Support for the development of management plans.</w:t>
            </w:r>
          </w:p>
        </w:tc>
        <w:tc>
          <w:tcPr>
            <w:tcW w:w="853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 xml:space="preserve">Signatories 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AC</w:t>
            </w:r>
          </w:p>
        </w:tc>
        <w:tc>
          <w:tcPr>
            <w:tcW w:w="504" w:type="pct"/>
            <w:tcBorders>
              <w:bottom w:val="single" w:sz="4" w:space="0" w:color="000000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690" w:type="pct"/>
            <w:tcBorders>
              <w:bottom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 xml:space="preserve">Please refer to CMS/Sharks/Outcome </w:t>
            </w:r>
            <w:r w:rsidRPr="00052AC0">
              <w:rPr>
                <w:rFonts w:cs="Arial"/>
                <w:sz w:val="20"/>
                <w:szCs w:val="20"/>
                <w:highlight w:val="yellow"/>
              </w:rPr>
              <w:t>3.x</w:t>
            </w:r>
          </w:p>
        </w:tc>
      </w:tr>
      <w:tr w:rsidR="00571D92" w:rsidRPr="00571D92" w:rsidTr="00A564A5">
        <w:trPr>
          <w:cantSplit/>
          <w:trHeight w:val="293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20" w:after="120"/>
              <w:ind w:left="342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 xml:space="preserve">Development and management of conservation projects: </w:t>
            </w:r>
          </w:p>
        </w:tc>
      </w:tr>
      <w:tr w:rsidR="00A564A5" w:rsidRPr="00571D92" w:rsidTr="00A564A5">
        <w:trPr>
          <w:cantSplit/>
          <w:trHeight w:val="1020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Stimulate and incentivize the development of projects e.g. through start-up grants</w:t>
            </w:r>
          </w:p>
          <w:p w:rsidR="00571D92" w:rsidRPr="00571D92" w:rsidRDefault="00571D92" w:rsidP="00571D92">
            <w:pPr>
              <w:tabs>
                <w:tab w:val="left" w:pos="1908"/>
              </w:tabs>
              <w:rPr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Signatories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Secretariat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Cooperating Partners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20" w:after="120"/>
              <w:ind w:left="336"/>
              <w:contextualSpacing/>
              <w:rPr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Awareness-raising and Communication/Community Participation: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 xml:space="preserve">Develop awareness-raising materials or identify existing </w:t>
            </w:r>
            <w:proofErr w:type="gramStart"/>
            <w:r w:rsidRPr="00571D92">
              <w:rPr>
                <w:rFonts w:cs="Arial"/>
                <w:sz w:val="20"/>
                <w:szCs w:val="20"/>
              </w:rPr>
              <w:t>ones, that</w:t>
            </w:r>
            <w:proofErr w:type="gramEnd"/>
            <w:r w:rsidRPr="00571D92">
              <w:rPr>
                <w:rFonts w:cs="Arial"/>
                <w:sz w:val="20"/>
                <w:szCs w:val="20"/>
              </w:rPr>
              <w:t xml:space="preserve"> can be tailored to the needs of the different regions and countries.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Cooperating Partners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Secretariat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AC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Information may be already available through Signatories or NGOs.</w:t>
            </w: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top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lastRenderedPageBreak/>
              <w:t>Assist with developing community events to educate on shark conservation.</w:t>
            </w:r>
          </w:p>
        </w:tc>
        <w:tc>
          <w:tcPr>
            <w:tcW w:w="853" w:type="pct"/>
            <w:tcBorders>
              <w:top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Signatories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Cooperating Partners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Secretariat</w:t>
            </w:r>
          </w:p>
        </w:tc>
        <w:tc>
          <w:tcPr>
            <w:tcW w:w="504" w:type="pct"/>
            <w:tcBorders>
              <w:top w:val="single" w:sz="4" w:space="0" w:color="auto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690" w:type="pct"/>
            <w:tcBorders>
              <w:top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20" w:after="120"/>
              <w:ind w:left="336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Cooperation with other Range States:</w:t>
            </w:r>
          </w:p>
        </w:tc>
        <w:tc>
          <w:tcPr>
            <w:tcW w:w="85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top w:val="single" w:sz="4" w:space="0" w:color="000000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Inform Signatories of opportunities for regional or international cooperation, such as multi-national initiatives, projects or meetings.</w:t>
            </w:r>
          </w:p>
        </w:tc>
        <w:tc>
          <w:tcPr>
            <w:tcW w:w="853" w:type="pct"/>
            <w:tcBorders>
              <w:top w:val="single" w:sz="4" w:space="0" w:color="000000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Signatories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Secretariat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Cooperating Partners</w:t>
            </w:r>
          </w:p>
        </w:tc>
        <w:tc>
          <w:tcPr>
            <w:tcW w:w="504" w:type="pct"/>
            <w:tcBorders>
              <w:top w:val="single" w:sz="4" w:space="0" w:color="000000"/>
              <w:bottom w:val="single" w:sz="4" w:space="0" w:color="auto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690" w:type="pct"/>
            <w:tcBorders>
              <w:top w:val="single" w:sz="4" w:space="0" w:color="000000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This activity could be achieved at low cost.</w:t>
            </w: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Signatories to engage in existing international agreements (RSCs and APs and other regional bodies)</w:t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Signatories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Cooperating Partners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690" w:type="pct"/>
            <w:tcBorders>
              <w:top w:val="single" w:sz="4" w:space="0" w:color="auto"/>
              <w:bottom w:val="single" w:sz="4" w:space="0" w:color="auto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120" w:after="120"/>
              <w:ind w:left="342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Funding: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Identify suitable funds and make Signatories and Range States aware of funding opportunities for the implementation of the MOU.</w:t>
            </w:r>
          </w:p>
        </w:tc>
        <w:tc>
          <w:tcPr>
            <w:tcW w:w="853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Signatories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Secretariat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Cooperating Partners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AC</w:t>
            </w:r>
          </w:p>
        </w:tc>
        <w:tc>
          <w:tcPr>
            <w:tcW w:w="504" w:type="pct"/>
            <w:tcBorders>
              <w:top w:val="single" w:sz="4" w:space="0" w:color="000000"/>
            </w:tcBorders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1</w:t>
            </w:r>
          </w:p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90" w:type="pct"/>
            <w:tcBorders>
              <w:top w:val="single" w:sz="4" w:space="0" w:color="000000"/>
            </w:tcBorders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Signatories, Cooperating Partners and AC might be able to provide feedback on proposals.</w:t>
            </w:r>
          </w:p>
        </w:tc>
      </w:tr>
      <w:tr w:rsidR="00A564A5" w:rsidRPr="00571D92" w:rsidTr="00A564A5">
        <w:trPr>
          <w:cantSplit/>
          <w:trHeight w:val="293"/>
        </w:trPr>
        <w:tc>
          <w:tcPr>
            <w:tcW w:w="195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spacing w:before="120" w:after="120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 xml:space="preserve">Encourage funding bodies to consider the CMS listings as criterion for assessing proposals </w:t>
            </w:r>
          </w:p>
        </w:tc>
        <w:tc>
          <w:tcPr>
            <w:tcW w:w="853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Signatories</w:t>
            </w:r>
          </w:p>
          <w:p w:rsidR="00571D92" w:rsidRPr="00571D92" w:rsidRDefault="00571D92" w:rsidP="00571D92">
            <w:pPr>
              <w:widowControl/>
              <w:numPr>
                <w:ilvl w:val="0"/>
                <w:numId w:val="11"/>
              </w:numPr>
              <w:autoSpaceDE/>
              <w:autoSpaceDN/>
              <w:adjustRightInd/>
              <w:spacing w:before="120" w:after="120"/>
              <w:ind w:left="354"/>
              <w:contextualSpacing/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Secretariat</w:t>
            </w:r>
          </w:p>
        </w:tc>
        <w:tc>
          <w:tcPr>
            <w:tcW w:w="504" w:type="pct"/>
          </w:tcPr>
          <w:p w:rsidR="00571D92" w:rsidRPr="00571D92" w:rsidRDefault="00571D92" w:rsidP="00571D92">
            <w:pPr>
              <w:rPr>
                <w:rFonts w:cs="Arial"/>
                <w:sz w:val="20"/>
                <w:szCs w:val="20"/>
              </w:rPr>
            </w:pPr>
            <w:r w:rsidRPr="00571D9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690" w:type="pct"/>
            <w:tcMar>
              <w:top w:w="86" w:type="dxa"/>
              <w:left w:w="115" w:type="dxa"/>
              <w:bottom w:w="86" w:type="dxa"/>
              <w:right w:w="115" w:type="dxa"/>
            </w:tcMar>
          </w:tcPr>
          <w:p w:rsidR="00571D92" w:rsidRPr="00571D92" w:rsidRDefault="00571D92" w:rsidP="00571D92">
            <w:pPr>
              <w:ind w:left="354"/>
              <w:contextualSpacing/>
              <w:rPr>
                <w:rFonts w:cs="Arial"/>
                <w:sz w:val="20"/>
                <w:szCs w:val="20"/>
              </w:rPr>
            </w:pPr>
          </w:p>
        </w:tc>
      </w:tr>
    </w:tbl>
    <w:p w:rsidR="00571D92" w:rsidRPr="00571D92" w:rsidRDefault="00571D92" w:rsidP="00571D92">
      <w:pPr>
        <w:jc w:val="both"/>
        <w:rPr>
          <w:rFonts w:cs="Arial"/>
          <w:b/>
          <w:sz w:val="22"/>
          <w:szCs w:val="22"/>
        </w:rPr>
      </w:pPr>
    </w:p>
    <w:sectPr w:rsidR="00571D92" w:rsidRPr="00571D92" w:rsidSect="00A564A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098" w:bottom="1440" w:left="1440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DD1" w:rsidRDefault="008B2DD1" w:rsidP="00173619">
      <w:r>
        <w:separator/>
      </w:r>
    </w:p>
  </w:endnote>
  <w:endnote w:type="continuationSeparator" w:id="0">
    <w:p w:rsidR="008B2DD1" w:rsidRDefault="008B2DD1" w:rsidP="0017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119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55E4" w:rsidRDefault="002F55E4" w:rsidP="002F55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A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0479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55E4" w:rsidRDefault="002F55E4" w:rsidP="002F55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A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2216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55E4" w:rsidRDefault="002F55E4" w:rsidP="002F55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2A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DD1" w:rsidRDefault="008B2DD1" w:rsidP="00173619">
      <w:r>
        <w:separator/>
      </w:r>
    </w:p>
  </w:footnote>
  <w:footnote w:type="continuationSeparator" w:id="0">
    <w:p w:rsidR="008B2DD1" w:rsidRDefault="008B2DD1" w:rsidP="00173619">
      <w:r>
        <w:continuationSeparator/>
      </w:r>
    </w:p>
  </w:footnote>
  <w:footnote w:id="1">
    <w:p w:rsidR="00571D92" w:rsidRPr="002F55E4" w:rsidRDefault="00571D92" w:rsidP="002F55E4">
      <w:pPr>
        <w:pStyle w:val="FootnoteText"/>
        <w:ind w:left="-709"/>
        <w:rPr>
          <w:sz w:val="18"/>
          <w:szCs w:val="18"/>
        </w:rPr>
      </w:pPr>
      <w:r w:rsidRPr="002F55E4">
        <w:rPr>
          <w:rStyle w:val="FootnoteReference"/>
          <w:sz w:val="18"/>
          <w:szCs w:val="18"/>
        </w:rPr>
        <w:footnoteRef/>
      </w:r>
      <w:r w:rsidRPr="002F55E4">
        <w:rPr>
          <w:sz w:val="18"/>
          <w:szCs w:val="18"/>
        </w:rPr>
        <w:t xml:space="preserve"> The activities were ranked by priority on a scale of 1 (highest priority) - 3 (lowest priority).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427" w:rsidRDefault="003B0427" w:rsidP="003B0427">
    <w:pPr>
      <w:pStyle w:val="Header"/>
      <w:ind w:firstLine="720"/>
    </w:pPr>
    <w:r w:rsidRPr="00F9613E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5E4DD522" wp14:editId="6AF65B95">
          <wp:simplePos x="0" y="0"/>
          <wp:positionH relativeFrom="column">
            <wp:posOffset>710565</wp:posOffset>
          </wp:positionH>
          <wp:positionV relativeFrom="paragraph">
            <wp:posOffset>45720</wp:posOffset>
          </wp:positionV>
          <wp:extent cx="255960" cy="359410"/>
          <wp:effectExtent l="0" t="0" r="0" b="2540"/>
          <wp:wrapNone/>
          <wp:docPr id="24" name="Picture 8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6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613E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82441FE" wp14:editId="72045F3F">
          <wp:simplePos x="0" y="0"/>
          <wp:positionH relativeFrom="column">
            <wp:posOffset>-37465</wp:posOffset>
          </wp:positionH>
          <wp:positionV relativeFrom="paragraph">
            <wp:posOffset>-15240</wp:posOffset>
          </wp:positionV>
          <wp:extent cx="800735" cy="523875"/>
          <wp:effectExtent l="0" t="0" r="0" b="0"/>
          <wp:wrapTight wrapText="bothSides">
            <wp:wrapPolygon edited="0">
              <wp:start x="1542" y="2356"/>
              <wp:lineTo x="2056" y="18851"/>
              <wp:lineTo x="19527" y="18851"/>
              <wp:lineTo x="19013" y="6284"/>
              <wp:lineTo x="17986" y="2356"/>
              <wp:lineTo x="1542" y="2356"/>
            </wp:wrapPolygon>
          </wp:wrapTight>
          <wp:docPr id="25" name="Picture 25" descr="UNEnvironment_Logo_English_Short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NEnvironment_Logo_English_Short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0427" w:rsidRDefault="003B04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92" w:rsidRDefault="00571D92" w:rsidP="00571D92">
    <w:pPr>
      <w:pStyle w:val="Header"/>
      <w:ind w:firstLine="720"/>
    </w:pPr>
    <w:r w:rsidRPr="00F9613E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64F2C5B7" wp14:editId="5097DBAA">
          <wp:simplePos x="0" y="0"/>
          <wp:positionH relativeFrom="column">
            <wp:posOffset>710565</wp:posOffset>
          </wp:positionH>
          <wp:positionV relativeFrom="paragraph">
            <wp:posOffset>45720</wp:posOffset>
          </wp:positionV>
          <wp:extent cx="255960" cy="359410"/>
          <wp:effectExtent l="0" t="0" r="0" b="2540"/>
          <wp:wrapNone/>
          <wp:docPr id="3" name="Picture 8" descr="cms_logo-for_letterhead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8" descr="cms_logo-for_letterhead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6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613E"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6CD2EEF5" wp14:editId="732623EA">
          <wp:simplePos x="0" y="0"/>
          <wp:positionH relativeFrom="column">
            <wp:posOffset>-37465</wp:posOffset>
          </wp:positionH>
          <wp:positionV relativeFrom="paragraph">
            <wp:posOffset>-15240</wp:posOffset>
          </wp:positionV>
          <wp:extent cx="800735" cy="523875"/>
          <wp:effectExtent l="0" t="0" r="0" b="0"/>
          <wp:wrapTight wrapText="bothSides">
            <wp:wrapPolygon edited="0">
              <wp:start x="1542" y="2356"/>
              <wp:lineTo x="2056" y="18851"/>
              <wp:lineTo x="19527" y="18851"/>
              <wp:lineTo x="19013" y="6284"/>
              <wp:lineTo x="17986" y="2356"/>
              <wp:lineTo x="1542" y="2356"/>
            </wp:wrapPolygon>
          </wp:wrapTight>
          <wp:docPr id="4" name="Picture 4" descr="UNEnvironment_Logo_English_Short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UNEnvironment_Logo_English_Short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1D92" w:rsidRDefault="00571D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5E4" w:rsidRPr="002F55E4" w:rsidRDefault="00052AC0" w:rsidP="002F55E4">
    <w:pPr>
      <w:pStyle w:val="Header"/>
      <w:pBdr>
        <w:bottom w:val="single" w:sz="4" w:space="1" w:color="auto"/>
      </w:pBdr>
      <w:ind w:left="-709" w:right="-846"/>
      <w:rPr>
        <w:i/>
      </w:rPr>
    </w:pPr>
    <w:r>
      <w:rPr>
        <w:i/>
      </w:rPr>
      <w:t>CMS/Sharks/MOS3/CRP5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5E4" w:rsidRPr="00A31403" w:rsidRDefault="00052AC0" w:rsidP="00A564A5">
    <w:pPr>
      <w:pStyle w:val="Header"/>
      <w:pBdr>
        <w:bottom w:val="single" w:sz="4" w:space="1" w:color="auto"/>
      </w:pBdr>
      <w:ind w:left="-709" w:right="119"/>
      <w:jc w:val="right"/>
      <w:rPr>
        <w:i/>
      </w:rPr>
    </w:pPr>
    <w:r>
      <w:rPr>
        <w:i/>
      </w:rPr>
      <w:t>CMS/Sharks/MOS3/CRP5</w:t>
    </w:r>
  </w:p>
  <w:p w:rsidR="00571D92" w:rsidRDefault="00571D92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D92" w:rsidRPr="00A31403" w:rsidRDefault="00052AC0" w:rsidP="00A564A5">
    <w:pPr>
      <w:pStyle w:val="Header"/>
      <w:pBdr>
        <w:bottom w:val="single" w:sz="4" w:space="1" w:color="auto"/>
      </w:pBdr>
      <w:ind w:left="-709" w:right="82"/>
      <w:rPr>
        <w:i/>
      </w:rPr>
    </w:pPr>
    <w:r>
      <w:rPr>
        <w:i/>
      </w:rPr>
      <w:t>CMS/Sharks/MOS3/CRP5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182D"/>
    <w:multiLevelType w:val="hybridMultilevel"/>
    <w:tmpl w:val="6AD86520"/>
    <w:lvl w:ilvl="0" w:tplc="815660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41AD"/>
    <w:multiLevelType w:val="hybridMultilevel"/>
    <w:tmpl w:val="31C2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6CBC"/>
    <w:multiLevelType w:val="hybridMultilevel"/>
    <w:tmpl w:val="4002E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F79AA"/>
    <w:multiLevelType w:val="hybridMultilevel"/>
    <w:tmpl w:val="46D02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E6235"/>
    <w:multiLevelType w:val="hybridMultilevel"/>
    <w:tmpl w:val="CB5E8B96"/>
    <w:lvl w:ilvl="0" w:tplc="22289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23802"/>
    <w:multiLevelType w:val="hybridMultilevel"/>
    <w:tmpl w:val="81621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371D3"/>
    <w:multiLevelType w:val="hybridMultilevel"/>
    <w:tmpl w:val="B57AB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F3333"/>
    <w:multiLevelType w:val="hybridMultilevel"/>
    <w:tmpl w:val="226AB8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344EB"/>
    <w:multiLevelType w:val="hybridMultilevel"/>
    <w:tmpl w:val="F0942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615C0"/>
    <w:multiLevelType w:val="hybridMultilevel"/>
    <w:tmpl w:val="36E2C9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2289B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515C5"/>
    <w:multiLevelType w:val="hybridMultilevel"/>
    <w:tmpl w:val="DEE69C78"/>
    <w:lvl w:ilvl="0" w:tplc="3B5EF336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325207"/>
    <w:multiLevelType w:val="hybridMultilevel"/>
    <w:tmpl w:val="31C2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19"/>
    <w:rsid w:val="00043216"/>
    <w:rsid w:val="00052AC0"/>
    <w:rsid w:val="0011539D"/>
    <w:rsid w:val="00173619"/>
    <w:rsid w:val="001B1D12"/>
    <w:rsid w:val="002F55E4"/>
    <w:rsid w:val="003A0C62"/>
    <w:rsid w:val="003B0427"/>
    <w:rsid w:val="003F3DEA"/>
    <w:rsid w:val="00454311"/>
    <w:rsid w:val="004D7892"/>
    <w:rsid w:val="005317D7"/>
    <w:rsid w:val="00571D92"/>
    <w:rsid w:val="0059662B"/>
    <w:rsid w:val="005B2ED0"/>
    <w:rsid w:val="005B5AE6"/>
    <w:rsid w:val="006109C9"/>
    <w:rsid w:val="006B0E3E"/>
    <w:rsid w:val="00705CE2"/>
    <w:rsid w:val="00861933"/>
    <w:rsid w:val="008653FD"/>
    <w:rsid w:val="00892DE8"/>
    <w:rsid w:val="008B2DD1"/>
    <w:rsid w:val="008D4E11"/>
    <w:rsid w:val="00926262"/>
    <w:rsid w:val="00937D62"/>
    <w:rsid w:val="00940DFD"/>
    <w:rsid w:val="00967857"/>
    <w:rsid w:val="00A31403"/>
    <w:rsid w:val="00A564A5"/>
    <w:rsid w:val="00BA4D01"/>
    <w:rsid w:val="00BF07AA"/>
    <w:rsid w:val="00CE36F4"/>
    <w:rsid w:val="00D15F5A"/>
    <w:rsid w:val="00DE320E"/>
    <w:rsid w:val="00E26C6A"/>
    <w:rsid w:val="00EB02D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CA9417-6C94-4E1C-B8BE-057D0800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ebuchet MS" w:eastAsia="Calibri" w:hAnsi="Trebuchet MS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MS normal text body"/>
    <w:qFormat/>
    <w:rsid w:val="001736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D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0427"/>
    <w:pPr>
      <w:keepNext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1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7D62"/>
    <w:rPr>
      <w:sz w:val="16"/>
      <w:szCs w:val="16"/>
    </w:rPr>
  </w:style>
  <w:style w:type="character" w:styleId="Hyperlink">
    <w:name w:val="Hyperlink"/>
    <w:uiPriority w:val="99"/>
    <w:rsid w:val="00173619"/>
    <w:rPr>
      <w:rFonts w:cs="Times New Roman"/>
      <w:color w:val="0000FF"/>
      <w:u w:val="single"/>
    </w:rPr>
  </w:style>
  <w:style w:type="paragraph" w:customStyle="1" w:styleId="Default">
    <w:name w:val="Default"/>
    <w:rsid w:val="00173619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61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19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361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619"/>
    <w:rPr>
      <w:rFonts w:ascii="Arial" w:eastAsia="Times New Roman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361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04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27"/>
    <w:rPr>
      <w:rFonts w:ascii="Arial" w:eastAsia="Times New Roman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4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27"/>
    <w:rPr>
      <w:rFonts w:ascii="Arial" w:eastAsia="Times New Roman" w:hAnsi="Arial"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3B0427"/>
    <w:rPr>
      <w:rFonts w:ascii="Arial" w:eastAsia="Times New Roman" w:hAnsi="Arial"/>
      <w:b/>
      <w:bCs/>
      <w:sz w:val="3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71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746D8-19CE-4C72-BE24-A5BAF50EC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Pauly</dc:creator>
  <cp:keywords/>
  <dc:description/>
  <cp:lastModifiedBy>Catherine</cp:lastModifiedBy>
  <cp:revision>10</cp:revision>
  <dcterms:created xsi:type="dcterms:W3CDTF">2018-12-12T18:59:00Z</dcterms:created>
  <dcterms:modified xsi:type="dcterms:W3CDTF">2018-12-12T22:47:00Z</dcterms:modified>
</cp:coreProperties>
</file>