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94"/>
        <w:tblW w:w="9000" w:type="dxa"/>
        <w:tblBorders>
          <w:insideV w:val="single" w:sz="12" w:space="0" w:color="auto"/>
        </w:tblBorders>
        <w:tblLayout w:type="fixed"/>
        <w:tblCellMar>
          <w:top w:w="198" w:type="dxa"/>
        </w:tblCellMar>
        <w:tblLook w:val="0000" w:firstRow="0" w:lastRow="0" w:firstColumn="0" w:lastColumn="0" w:noHBand="0" w:noVBand="0"/>
      </w:tblPr>
      <w:tblGrid>
        <w:gridCol w:w="1526"/>
        <w:gridCol w:w="3874"/>
        <w:gridCol w:w="3594"/>
        <w:gridCol w:w="6"/>
      </w:tblGrid>
      <w:tr w:rsidR="00507D30" w:rsidRPr="002A399E" w14:paraId="22B6DCDB" w14:textId="77777777" w:rsidTr="00FC3939">
        <w:trPr>
          <w:gridAfter w:val="1"/>
          <w:wAfter w:w="6" w:type="dxa"/>
          <w:cantSplit/>
          <w:trHeight w:val="725"/>
        </w:trPr>
        <w:tc>
          <w:tcPr>
            <w:tcW w:w="8994" w:type="dxa"/>
            <w:gridSpan w:val="3"/>
            <w:tcBorders>
              <w:bottom w:val="single" w:sz="12" w:space="0" w:color="auto"/>
            </w:tcBorders>
            <w:tcMar>
              <w:top w:w="85" w:type="dxa"/>
            </w:tcMar>
          </w:tcPr>
          <w:p w14:paraId="4F5C4B05" w14:textId="77777777" w:rsidR="00507D30" w:rsidRPr="002A399E" w:rsidRDefault="00507D30" w:rsidP="00507D30">
            <w:pPr>
              <w:tabs>
                <w:tab w:val="left" w:pos="-1057"/>
                <w:tab w:val="left" w:pos="-720"/>
                <w:tab w:val="left" w:pos="0"/>
                <w:tab w:val="left" w:pos="141"/>
                <w:tab w:val="left" w:pos="720"/>
                <w:tab w:val="right" w:pos="8955"/>
              </w:tabs>
              <w:jc w:val="both"/>
              <w:rPr>
                <w:sz w:val="22"/>
                <w:szCs w:val="22"/>
                <w:lang w:val="fr-FR"/>
              </w:rPr>
            </w:pPr>
            <w:r w:rsidRPr="002A399E"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3D5E614E" wp14:editId="68C7CAFE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207645</wp:posOffset>
                  </wp:positionV>
                  <wp:extent cx="255960" cy="359410"/>
                  <wp:effectExtent l="0" t="0" r="0" b="2540"/>
                  <wp:wrapNone/>
                  <wp:docPr id="9" name="Picture 9" descr="cms_logo-for_letterhead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 descr="cms_logo-for_letterhead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6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399E">
              <w:rPr>
                <w:noProof/>
                <w:lang w:val="en-GB" w:eastAsia="en-GB"/>
              </w:rPr>
              <w:drawing>
                <wp:anchor distT="0" distB="0" distL="114300" distR="114300" simplePos="0" relativeHeight="251660288" behindDoc="1" locked="0" layoutInCell="1" allowOverlap="1" wp14:anchorId="53C3746C" wp14:editId="0C5640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945515" cy="510540"/>
                  <wp:effectExtent l="0" t="0" r="0" b="0"/>
                  <wp:wrapTight wrapText="bothSides">
                    <wp:wrapPolygon edited="0">
                      <wp:start x="2176" y="2418"/>
                      <wp:lineTo x="1306" y="14507"/>
                      <wp:lineTo x="1306" y="18537"/>
                      <wp:lineTo x="20019" y="18537"/>
                      <wp:lineTo x="19584" y="5642"/>
                      <wp:lineTo x="19148" y="2418"/>
                      <wp:lineTo x="2176" y="2418"/>
                    </wp:wrapPolygon>
                  </wp:wrapTight>
                  <wp:docPr id="6" name="Picture 6" descr="UNEnvironment_Logo_French_Short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UNEnvironment_Logo_French_Shor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07D30" w:rsidRPr="002A399E" w14:paraId="47399EE1" w14:textId="77777777" w:rsidTr="00FC3939">
        <w:trPr>
          <w:trHeight w:val="1367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85" w:type="dxa"/>
            </w:tcMar>
          </w:tcPr>
          <w:p w14:paraId="5C436F76" w14:textId="77777777" w:rsidR="00507D30" w:rsidRPr="002A399E" w:rsidRDefault="00507D30" w:rsidP="00507D30">
            <w:pPr>
              <w:jc w:val="both"/>
              <w:rPr>
                <w:sz w:val="22"/>
                <w:szCs w:val="22"/>
                <w:lang w:val="fr-FR"/>
              </w:rPr>
            </w:pPr>
            <w:r w:rsidRPr="002A399E"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3FA41D1" wp14:editId="12BBED4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-15240</wp:posOffset>
                  </wp:positionV>
                  <wp:extent cx="1029970" cy="87947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7" t="4031" r="6290" b="3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</w:tcMar>
          </w:tcPr>
          <w:p w14:paraId="2217DAA9" w14:textId="77777777" w:rsidR="00507D30" w:rsidRPr="002A399E" w:rsidRDefault="00507D30" w:rsidP="00507D30">
            <w:pPr>
              <w:spacing w:before="40"/>
              <w:ind w:left="274"/>
              <w:rPr>
                <w:b/>
                <w:bCs/>
                <w:sz w:val="22"/>
                <w:szCs w:val="22"/>
                <w:lang w:val="fr-FR"/>
              </w:rPr>
            </w:pPr>
            <w:r w:rsidRPr="002A399E">
              <w:rPr>
                <w:rFonts w:cs="Arial"/>
                <w:b/>
                <w:bCs/>
                <w:sz w:val="22"/>
                <w:szCs w:val="22"/>
                <w:lang w:val="fr-FR"/>
              </w:rPr>
              <w:t>MÉMORANDUM D’ENTENTE SUR LA CONSERVATION DES REQUINS MIGRATEURS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85" w:type="dxa"/>
            </w:tcMar>
          </w:tcPr>
          <w:p w14:paraId="1D7DF9C4" w14:textId="77777777" w:rsidR="006767BC" w:rsidRPr="006767BC" w:rsidRDefault="006767BC" w:rsidP="00507D30">
            <w:pPr>
              <w:spacing w:before="40" w:after="40"/>
              <w:ind w:left="-108"/>
              <w:jc w:val="both"/>
              <w:rPr>
                <w:rFonts w:cs="Arial"/>
                <w:sz w:val="12"/>
                <w:szCs w:val="12"/>
                <w:lang w:val="fr-FR"/>
              </w:rPr>
            </w:pPr>
          </w:p>
          <w:p w14:paraId="082C423D" w14:textId="2C46CFA8" w:rsidR="00507D30" w:rsidRPr="002A399E" w:rsidRDefault="00710DBA" w:rsidP="000113B4">
            <w:pPr>
              <w:spacing w:before="40" w:after="40"/>
              <w:ind w:left="21"/>
              <w:jc w:val="both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CMS/</w:t>
            </w:r>
            <w:proofErr w:type="spellStart"/>
            <w:r>
              <w:rPr>
                <w:rFonts w:cs="Arial"/>
                <w:sz w:val="22"/>
                <w:szCs w:val="22"/>
                <w:lang w:val="fr-FR"/>
              </w:rPr>
              <w:t>Sharks</w:t>
            </w:r>
            <w:proofErr w:type="spellEnd"/>
            <w:r>
              <w:rPr>
                <w:rFonts w:cs="Arial"/>
                <w:sz w:val="22"/>
                <w:szCs w:val="22"/>
                <w:lang w:val="fr-FR"/>
              </w:rPr>
              <w:t>/MOS3/CRP5</w:t>
            </w:r>
          </w:p>
          <w:p w14:paraId="24F5E485" w14:textId="09A61E63" w:rsidR="00507D30" w:rsidRPr="002A399E" w:rsidRDefault="00B54BA6" w:rsidP="000113B4">
            <w:pPr>
              <w:spacing w:before="40" w:after="40"/>
              <w:ind w:left="21"/>
              <w:jc w:val="both"/>
              <w:rPr>
                <w:rFonts w:cs="Arial"/>
                <w:sz w:val="22"/>
                <w:szCs w:val="22"/>
                <w:lang w:val="fr-FR"/>
              </w:rPr>
            </w:pPr>
            <w:r w:rsidRPr="006767BC">
              <w:rPr>
                <w:rFonts w:cs="Arial"/>
                <w:sz w:val="22"/>
                <w:szCs w:val="22"/>
                <w:lang w:val="fr-FR"/>
              </w:rPr>
              <w:t>1</w:t>
            </w:r>
            <w:r w:rsidR="008B21D9">
              <w:rPr>
                <w:rFonts w:cs="Arial"/>
                <w:sz w:val="22"/>
                <w:szCs w:val="22"/>
                <w:lang w:val="fr-FR"/>
              </w:rPr>
              <w:t xml:space="preserve">2 </w:t>
            </w:r>
            <w:r w:rsidR="00667611" w:rsidRPr="006767BC">
              <w:rPr>
                <w:rFonts w:cs="Arial"/>
                <w:sz w:val="22"/>
                <w:szCs w:val="22"/>
                <w:lang w:val="fr-FR"/>
              </w:rPr>
              <w:t>décembre</w:t>
            </w:r>
            <w:r w:rsidR="00507D30" w:rsidRPr="002A399E">
              <w:rPr>
                <w:rFonts w:cs="Arial"/>
                <w:sz w:val="22"/>
                <w:szCs w:val="22"/>
                <w:lang w:val="fr-FR"/>
              </w:rPr>
              <w:t xml:space="preserve"> 2018</w:t>
            </w:r>
          </w:p>
          <w:p w14:paraId="7B88B94C" w14:textId="4D4A5509" w:rsidR="00507D30" w:rsidRPr="002A399E" w:rsidRDefault="00507D30" w:rsidP="00507D30">
            <w:pPr>
              <w:ind w:left="-108"/>
              <w:jc w:val="both"/>
              <w:rPr>
                <w:sz w:val="22"/>
                <w:szCs w:val="22"/>
                <w:lang w:val="fr-FR"/>
              </w:rPr>
            </w:pPr>
          </w:p>
        </w:tc>
      </w:tr>
    </w:tbl>
    <w:p w14:paraId="0DB9E567" w14:textId="44E865C6" w:rsidR="008B21D9" w:rsidRDefault="008B21D9" w:rsidP="00507D30">
      <w:pPr>
        <w:jc w:val="both"/>
        <w:rPr>
          <w:rFonts w:cs="Arial"/>
          <w:sz w:val="22"/>
          <w:szCs w:val="22"/>
        </w:rPr>
      </w:pPr>
    </w:p>
    <w:p w14:paraId="4A31EFEA" w14:textId="77777777" w:rsidR="00710DBA" w:rsidRDefault="00710DBA" w:rsidP="00507D30">
      <w:pPr>
        <w:jc w:val="both"/>
        <w:rPr>
          <w:rFonts w:cs="Arial"/>
          <w:sz w:val="22"/>
          <w:szCs w:val="22"/>
        </w:rPr>
      </w:pPr>
    </w:p>
    <w:p w14:paraId="427646A7" w14:textId="7E489BB8" w:rsidR="008B21D9" w:rsidRDefault="00710DBA" w:rsidP="00710DBA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proofErr w:type="gramStart"/>
      <w:r>
        <w:rPr>
          <w:rFonts w:cs="Arial"/>
          <w:sz w:val="22"/>
          <w:szCs w:val="22"/>
        </w:rPr>
        <w:t>du</w:t>
      </w:r>
      <w:proofErr w:type="gramEnd"/>
      <w:r>
        <w:rPr>
          <w:rFonts w:cs="Arial"/>
          <w:sz w:val="22"/>
          <w:szCs w:val="22"/>
        </w:rPr>
        <w:t xml:space="preserve"> Document CMS/sharks/MOS3/Doc.13.1/</w:t>
      </w:r>
      <w:proofErr w:type="spellStart"/>
      <w:r>
        <w:rPr>
          <w:rFonts w:cs="Arial"/>
          <w:sz w:val="22"/>
          <w:szCs w:val="22"/>
        </w:rPr>
        <w:t>Annexe</w:t>
      </w:r>
      <w:proofErr w:type="spellEnd"/>
      <w:r>
        <w:rPr>
          <w:rFonts w:cs="Arial"/>
          <w:sz w:val="22"/>
          <w:szCs w:val="22"/>
        </w:rPr>
        <w:t xml:space="preserve"> 2)</w:t>
      </w:r>
    </w:p>
    <w:p w14:paraId="17664A02" w14:textId="77777777" w:rsidR="00710DBA" w:rsidRPr="008B21D9" w:rsidRDefault="00710DBA" w:rsidP="00710DBA">
      <w:pPr>
        <w:jc w:val="center"/>
        <w:rPr>
          <w:rFonts w:cs="Arial"/>
          <w:sz w:val="22"/>
          <w:szCs w:val="22"/>
        </w:rPr>
      </w:pPr>
    </w:p>
    <w:p w14:paraId="797D1332" w14:textId="77777777" w:rsidR="00AC3B16" w:rsidRDefault="00AC3B16" w:rsidP="00AC3B16">
      <w:pPr>
        <w:ind w:left="360"/>
        <w:jc w:val="center"/>
        <w:rPr>
          <w:rFonts w:cs="Arial"/>
          <w:b/>
          <w:bCs/>
          <w:sz w:val="22"/>
          <w:szCs w:val="22"/>
          <w:lang w:val="fr-FR"/>
        </w:rPr>
      </w:pPr>
      <w:r w:rsidRPr="00970224">
        <w:rPr>
          <w:rFonts w:cs="Arial"/>
          <w:b/>
          <w:bCs/>
          <w:sz w:val="22"/>
          <w:szCs w:val="22"/>
          <w:lang w:val="fr-FR"/>
        </w:rPr>
        <w:t xml:space="preserve">PROGRAMME DE RENFORCEMENT DES CAPACITÉS </w:t>
      </w:r>
    </w:p>
    <w:p w14:paraId="4E566C1C" w14:textId="77777777" w:rsidR="00AC3B16" w:rsidRPr="00970224" w:rsidRDefault="00AC3B16" w:rsidP="00AC3B16">
      <w:pPr>
        <w:ind w:left="360"/>
        <w:jc w:val="center"/>
        <w:rPr>
          <w:rFonts w:cs="Arial"/>
          <w:b/>
          <w:bCs/>
          <w:sz w:val="22"/>
          <w:szCs w:val="22"/>
          <w:lang w:val="fr-FR"/>
        </w:rPr>
      </w:pPr>
      <w:r w:rsidRPr="00970224">
        <w:rPr>
          <w:rFonts w:cs="Arial"/>
          <w:b/>
          <w:bCs/>
          <w:sz w:val="22"/>
          <w:szCs w:val="22"/>
          <w:lang w:val="fr-FR"/>
        </w:rPr>
        <w:t xml:space="preserve">POUR LE </w:t>
      </w:r>
      <w:proofErr w:type="spellStart"/>
      <w:r w:rsidRPr="00970224">
        <w:rPr>
          <w:rFonts w:cs="Arial"/>
          <w:b/>
          <w:bCs/>
          <w:sz w:val="22"/>
          <w:szCs w:val="22"/>
          <w:lang w:val="fr-FR"/>
        </w:rPr>
        <w:t>MdE</w:t>
      </w:r>
      <w:proofErr w:type="spellEnd"/>
      <w:r w:rsidRPr="00970224">
        <w:rPr>
          <w:rFonts w:cs="Arial"/>
          <w:b/>
          <w:bCs/>
          <w:sz w:val="22"/>
          <w:szCs w:val="22"/>
          <w:lang w:val="fr-FR"/>
        </w:rPr>
        <w:t xml:space="preserve"> REQUINS</w:t>
      </w:r>
    </w:p>
    <w:p w14:paraId="647E4D41" w14:textId="77777777" w:rsidR="00AC3B16" w:rsidRDefault="00AC3B16" w:rsidP="00AC3B16">
      <w:pPr>
        <w:ind w:left="360"/>
        <w:jc w:val="both"/>
        <w:rPr>
          <w:rFonts w:cs="Arial"/>
          <w:bCs/>
          <w:sz w:val="22"/>
          <w:szCs w:val="22"/>
          <w:lang w:val="fr-FR"/>
        </w:rPr>
      </w:pPr>
    </w:p>
    <w:p w14:paraId="5C66A3B5" w14:textId="77777777" w:rsidR="00AC3B16" w:rsidRPr="00970224" w:rsidRDefault="00AC3B16" w:rsidP="00AC3B16">
      <w:pPr>
        <w:ind w:left="360"/>
        <w:jc w:val="both"/>
        <w:rPr>
          <w:rFonts w:cs="Arial"/>
          <w:bCs/>
          <w:sz w:val="22"/>
          <w:szCs w:val="22"/>
          <w:lang w:val="fr-FR"/>
        </w:rPr>
      </w:pPr>
    </w:p>
    <w:p w14:paraId="68A34293" w14:textId="77777777" w:rsidR="00AC3B16" w:rsidRPr="00970224" w:rsidRDefault="00AC3B16" w:rsidP="0086294A">
      <w:pPr>
        <w:numPr>
          <w:ilvl w:val="0"/>
          <w:numId w:val="1"/>
        </w:numPr>
        <w:ind w:left="426" w:hanging="426"/>
        <w:jc w:val="both"/>
        <w:rPr>
          <w:rFonts w:cs="Arial"/>
          <w:bCs/>
          <w:sz w:val="22"/>
          <w:szCs w:val="22"/>
          <w:lang w:val="fr-FR"/>
        </w:rPr>
      </w:pPr>
      <w:r w:rsidRPr="00970224">
        <w:rPr>
          <w:rFonts w:cs="Arial"/>
          <w:bCs/>
          <w:sz w:val="22"/>
          <w:szCs w:val="22"/>
          <w:lang w:val="fr-FR"/>
        </w:rPr>
        <w:t xml:space="preserve">Le Programme de renforcement des capacités vise à orienter les Signataires du </w:t>
      </w:r>
      <w:proofErr w:type="spellStart"/>
      <w:r w:rsidRPr="00970224">
        <w:rPr>
          <w:rFonts w:cs="Arial"/>
          <w:bCs/>
          <w:sz w:val="22"/>
          <w:szCs w:val="22"/>
          <w:lang w:val="fr-FR"/>
        </w:rPr>
        <w:t>MdE</w:t>
      </w:r>
      <w:proofErr w:type="spellEnd"/>
      <w:r w:rsidRPr="00970224">
        <w:rPr>
          <w:rFonts w:cs="Arial"/>
          <w:bCs/>
          <w:sz w:val="22"/>
          <w:szCs w:val="22"/>
          <w:lang w:val="fr-FR"/>
        </w:rPr>
        <w:t xml:space="preserve"> Requins, le Comité consultatif, le Secrétariat et les Partenaires coopérants en vue d’améliorer l’ensemble des capacités nécessaires pour mettre en œuvre le Plan de conservation du </w:t>
      </w:r>
      <w:proofErr w:type="spellStart"/>
      <w:r w:rsidRPr="00970224">
        <w:rPr>
          <w:rFonts w:cs="Arial"/>
          <w:bCs/>
          <w:sz w:val="22"/>
          <w:szCs w:val="22"/>
          <w:lang w:val="fr-FR"/>
        </w:rPr>
        <w:t>MdE</w:t>
      </w:r>
      <w:proofErr w:type="spellEnd"/>
      <w:r w:rsidRPr="00970224">
        <w:rPr>
          <w:rFonts w:cs="Arial"/>
          <w:bCs/>
          <w:sz w:val="22"/>
          <w:szCs w:val="22"/>
          <w:lang w:val="fr-FR"/>
        </w:rPr>
        <w:t xml:space="preserve"> Requins. </w:t>
      </w:r>
    </w:p>
    <w:p w14:paraId="5A3DE9DA" w14:textId="77777777" w:rsidR="00AC3B16" w:rsidRPr="00970224" w:rsidRDefault="00AC3B16" w:rsidP="00AC3B16">
      <w:pPr>
        <w:ind w:left="426" w:hanging="426"/>
        <w:jc w:val="both"/>
        <w:rPr>
          <w:rFonts w:cs="Arial"/>
          <w:bCs/>
          <w:sz w:val="22"/>
          <w:szCs w:val="22"/>
          <w:lang w:val="fr-FR"/>
        </w:rPr>
      </w:pPr>
    </w:p>
    <w:p w14:paraId="144131FB" w14:textId="03A5E71E" w:rsidR="00AC3B16" w:rsidRPr="00D66263" w:rsidRDefault="00AC3B16" w:rsidP="0086294A">
      <w:pPr>
        <w:numPr>
          <w:ilvl w:val="0"/>
          <w:numId w:val="1"/>
        </w:numPr>
        <w:spacing w:after="80"/>
        <w:ind w:left="426" w:hanging="426"/>
        <w:jc w:val="both"/>
        <w:rPr>
          <w:rFonts w:cs="Arial"/>
          <w:bCs/>
          <w:sz w:val="22"/>
          <w:szCs w:val="22"/>
          <w:lang w:val="fr-FR"/>
        </w:rPr>
      </w:pPr>
      <w:r w:rsidRPr="00970224">
        <w:rPr>
          <w:rFonts w:cs="Arial"/>
          <w:bCs/>
          <w:sz w:val="22"/>
          <w:szCs w:val="22"/>
          <w:lang w:val="fr-FR"/>
        </w:rPr>
        <w:t xml:space="preserve"> Le Programme inclut des activités clés hautement prioritaires, qui sont destinées à répondre aux principaux besoins en renforcement des capacités des Signataires. Le Programme </w:t>
      </w:r>
      <w:r w:rsidR="00F25494">
        <w:rPr>
          <w:rFonts w:cs="Arial"/>
          <w:bCs/>
          <w:sz w:val="22"/>
          <w:szCs w:val="22"/>
          <w:lang w:val="fr-FR"/>
        </w:rPr>
        <w:t>devrait</w:t>
      </w:r>
      <w:r w:rsidRPr="00970224">
        <w:rPr>
          <w:rFonts w:cs="Arial"/>
          <w:bCs/>
          <w:sz w:val="22"/>
          <w:szCs w:val="22"/>
          <w:lang w:val="fr-FR"/>
        </w:rPr>
        <w:t xml:space="preserve"> régulièrement mis à jour à chaque MOS et t</w:t>
      </w:r>
      <w:r w:rsidR="00F25494">
        <w:rPr>
          <w:rFonts w:cs="Arial"/>
          <w:bCs/>
          <w:sz w:val="22"/>
          <w:szCs w:val="22"/>
          <w:lang w:val="fr-FR"/>
        </w:rPr>
        <w:t>enir</w:t>
      </w:r>
      <w:r w:rsidRPr="00970224">
        <w:rPr>
          <w:rFonts w:cs="Arial"/>
          <w:bCs/>
          <w:sz w:val="22"/>
          <w:szCs w:val="22"/>
          <w:lang w:val="fr-FR"/>
        </w:rPr>
        <w:t xml:space="preserve"> compte des besoins en renforcement des capacités exprimés par les Signataires. Pour évaluer ces besoins, les procédures suivantes sont prévues :</w:t>
      </w:r>
    </w:p>
    <w:p w14:paraId="24271F3C" w14:textId="77777777" w:rsidR="00AC3B16" w:rsidRPr="00970224" w:rsidRDefault="00AC3B16" w:rsidP="0086294A">
      <w:pPr>
        <w:numPr>
          <w:ilvl w:val="1"/>
          <w:numId w:val="1"/>
        </w:numPr>
        <w:spacing w:after="80"/>
        <w:ind w:left="1134"/>
        <w:jc w:val="both"/>
        <w:rPr>
          <w:rFonts w:cs="Arial"/>
          <w:bCs/>
          <w:sz w:val="22"/>
          <w:szCs w:val="22"/>
          <w:lang w:val="fr-FR"/>
        </w:rPr>
      </w:pPr>
      <w:r w:rsidRPr="00970224">
        <w:rPr>
          <w:rFonts w:cs="Arial"/>
          <w:bCs/>
          <w:sz w:val="22"/>
          <w:szCs w:val="22"/>
          <w:lang w:val="fr-FR"/>
        </w:rPr>
        <w:t>Enquête menée par le Secrétariat (tous les trois ans)</w:t>
      </w:r>
    </w:p>
    <w:p w14:paraId="0BE60B5B" w14:textId="77777777" w:rsidR="00AC3B16" w:rsidRPr="00970224" w:rsidRDefault="00AC3B16" w:rsidP="0086294A">
      <w:pPr>
        <w:numPr>
          <w:ilvl w:val="1"/>
          <w:numId w:val="1"/>
        </w:numPr>
        <w:ind w:left="1134"/>
        <w:jc w:val="both"/>
        <w:rPr>
          <w:rFonts w:cs="Arial"/>
          <w:bCs/>
          <w:sz w:val="22"/>
          <w:szCs w:val="22"/>
          <w:lang w:val="fr-FR"/>
        </w:rPr>
      </w:pPr>
      <w:r w:rsidRPr="00970224">
        <w:rPr>
          <w:rFonts w:cs="Arial"/>
          <w:bCs/>
          <w:sz w:val="22"/>
          <w:szCs w:val="22"/>
          <w:lang w:val="fr-FR"/>
        </w:rPr>
        <w:t>Expression directe des besoins par les Signataires au Secrétariat (rapport national et à tout moment entre les sessions)</w:t>
      </w:r>
    </w:p>
    <w:p w14:paraId="134E4B46" w14:textId="77777777" w:rsidR="00AC3B16" w:rsidRPr="00970224" w:rsidRDefault="00AC3B16" w:rsidP="00AC3B16">
      <w:pPr>
        <w:ind w:left="360"/>
        <w:jc w:val="both"/>
        <w:rPr>
          <w:rFonts w:cs="Arial"/>
          <w:bCs/>
          <w:sz w:val="22"/>
          <w:szCs w:val="22"/>
          <w:lang w:val="fr-FR"/>
        </w:rPr>
      </w:pPr>
    </w:p>
    <w:p w14:paraId="3DAA6C29" w14:textId="19B40182" w:rsidR="00AC3B16" w:rsidRPr="00970224" w:rsidRDefault="00AC3B16" w:rsidP="0086294A">
      <w:pPr>
        <w:numPr>
          <w:ilvl w:val="0"/>
          <w:numId w:val="1"/>
        </w:numPr>
        <w:ind w:left="426" w:hanging="426"/>
        <w:jc w:val="both"/>
        <w:rPr>
          <w:rFonts w:cs="Arial"/>
          <w:bCs/>
          <w:sz w:val="22"/>
          <w:szCs w:val="22"/>
          <w:lang w:val="fr-FR"/>
        </w:rPr>
      </w:pPr>
      <w:r w:rsidRPr="00970224">
        <w:rPr>
          <w:rFonts w:cs="Arial"/>
          <w:bCs/>
          <w:sz w:val="22"/>
          <w:szCs w:val="22"/>
          <w:lang w:val="fr-FR"/>
        </w:rPr>
        <w:t xml:space="preserve">La mise en œuvre du Programme </w:t>
      </w:r>
      <w:r w:rsidR="00F25494">
        <w:rPr>
          <w:rFonts w:cs="Arial"/>
          <w:bCs/>
          <w:sz w:val="22"/>
          <w:szCs w:val="22"/>
          <w:lang w:val="fr-FR"/>
        </w:rPr>
        <w:t>devrait être</w:t>
      </w:r>
      <w:r w:rsidRPr="00970224">
        <w:rPr>
          <w:rFonts w:cs="Arial"/>
          <w:bCs/>
          <w:sz w:val="22"/>
          <w:szCs w:val="22"/>
          <w:lang w:val="fr-FR"/>
        </w:rPr>
        <w:t xml:space="preserve"> financée par des contributions volontaires et des contributions en nature des Signataires et d’autres pays ou organismes donateurs.</w:t>
      </w:r>
    </w:p>
    <w:p w14:paraId="4E042F6B" w14:textId="77777777" w:rsidR="00AC3B16" w:rsidRPr="00970224" w:rsidRDefault="00AC3B16" w:rsidP="00AC3B16">
      <w:pPr>
        <w:ind w:left="426" w:hanging="426"/>
        <w:jc w:val="both"/>
        <w:rPr>
          <w:rFonts w:cs="Arial"/>
          <w:bCs/>
          <w:sz w:val="22"/>
          <w:szCs w:val="22"/>
          <w:lang w:val="fr-FR"/>
        </w:rPr>
      </w:pPr>
    </w:p>
    <w:p w14:paraId="359F07BE" w14:textId="77777777" w:rsidR="00AC3B16" w:rsidRDefault="00AC3B16" w:rsidP="0086294A">
      <w:pPr>
        <w:numPr>
          <w:ilvl w:val="0"/>
          <w:numId w:val="1"/>
        </w:numPr>
        <w:ind w:left="426" w:hanging="426"/>
        <w:jc w:val="both"/>
        <w:rPr>
          <w:rFonts w:cs="Arial"/>
          <w:bCs/>
          <w:sz w:val="22"/>
          <w:szCs w:val="22"/>
          <w:lang w:val="fr-FR"/>
        </w:rPr>
      </w:pPr>
      <w:r w:rsidRPr="00970224">
        <w:rPr>
          <w:rFonts w:cs="Arial"/>
          <w:bCs/>
          <w:sz w:val="22"/>
          <w:szCs w:val="22"/>
          <w:lang w:val="fr-FR"/>
        </w:rPr>
        <w:t xml:space="preserve">Dans la mesure du possible, la CMS est invitée à appuyer ces activités dans le cadre de ses initiatives de sensibilisation et de renforcement des capacités. </w:t>
      </w:r>
    </w:p>
    <w:p w14:paraId="55EB7E63" w14:textId="77777777" w:rsidR="00AC3B16" w:rsidRDefault="00AC3B16" w:rsidP="00AC3B16">
      <w:pPr>
        <w:pStyle w:val="ListParagraph"/>
        <w:ind w:left="426" w:hanging="426"/>
        <w:rPr>
          <w:rFonts w:cs="Arial"/>
          <w:bCs/>
          <w:sz w:val="22"/>
          <w:szCs w:val="22"/>
          <w:lang w:val="fr-FR"/>
        </w:rPr>
      </w:pPr>
    </w:p>
    <w:p w14:paraId="74642D5B" w14:textId="0BE7A91D" w:rsidR="00AC3B16" w:rsidRPr="00AC3B16" w:rsidRDefault="00AC3B16" w:rsidP="0086294A">
      <w:pPr>
        <w:numPr>
          <w:ilvl w:val="0"/>
          <w:numId w:val="1"/>
        </w:numPr>
        <w:ind w:left="426" w:hanging="426"/>
        <w:jc w:val="both"/>
        <w:rPr>
          <w:rFonts w:cs="Arial"/>
          <w:bCs/>
          <w:sz w:val="22"/>
          <w:szCs w:val="22"/>
          <w:lang w:val="fr-FR"/>
        </w:rPr>
        <w:sectPr w:rsidR="00AC3B16" w:rsidRPr="00AC3B16" w:rsidSect="008B21D9">
          <w:headerReference w:type="even" r:id="rId11"/>
          <w:headerReference w:type="default" r:id="rId12"/>
          <w:footerReference w:type="even" r:id="rId13"/>
          <w:head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C3B16">
        <w:rPr>
          <w:rFonts w:cs="Arial"/>
          <w:bCs/>
          <w:sz w:val="22"/>
          <w:szCs w:val="22"/>
          <w:lang w:val="fr-FR"/>
        </w:rPr>
        <w:t xml:space="preserve">Selon les besoins et les possibilités, le renforcement des capacités </w:t>
      </w:r>
      <w:r w:rsidR="00F25494">
        <w:rPr>
          <w:rFonts w:cs="Arial"/>
          <w:bCs/>
          <w:sz w:val="22"/>
          <w:szCs w:val="22"/>
          <w:lang w:val="fr-FR"/>
        </w:rPr>
        <w:t>devrait être</w:t>
      </w:r>
      <w:r w:rsidRPr="00AC3B16">
        <w:rPr>
          <w:rFonts w:cs="Arial"/>
          <w:bCs/>
          <w:sz w:val="22"/>
          <w:szCs w:val="22"/>
          <w:lang w:val="fr-FR"/>
        </w:rPr>
        <w:t xml:space="preserve"> entrepris en coopération avec d’autres organisations compétentes, en particulier, mais sans s’y limiter, la CITES</w:t>
      </w:r>
      <w:r w:rsidR="00576416">
        <w:rPr>
          <w:rFonts w:cs="Arial"/>
          <w:bCs/>
          <w:sz w:val="22"/>
          <w:szCs w:val="22"/>
          <w:lang w:val="fr-FR"/>
        </w:rPr>
        <w:t xml:space="preserve">, la FAO, les ORGP et les Conventions et plans d’actions sur les mers régionales (RSCAP) </w:t>
      </w:r>
      <w:r w:rsidRPr="00AC3B16">
        <w:rPr>
          <w:rFonts w:cs="Arial"/>
          <w:bCs/>
          <w:sz w:val="22"/>
          <w:szCs w:val="22"/>
          <w:lang w:val="fr-FR"/>
        </w:rPr>
        <w:t>ainsi que le secteur sans but lucratif et privé.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6"/>
        <w:gridCol w:w="1980"/>
        <w:gridCol w:w="1172"/>
        <w:gridCol w:w="4437"/>
      </w:tblGrid>
      <w:tr w:rsidR="00AC3B16" w:rsidRPr="00AC3B16" w14:paraId="0CB1B586" w14:textId="77777777" w:rsidTr="00AC3B16">
        <w:trPr>
          <w:cantSplit/>
          <w:trHeight w:val="466"/>
          <w:tblHeader/>
        </w:trPr>
        <w:tc>
          <w:tcPr>
            <w:tcW w:w="2118" w:type="pct"/>
            <w:tcBorders>
              <w:bottom w:val="single" w:sz="4" w:space="0" w:color="000000"/>
            </w:tcBorders>
            <w:shd w:val="clear" w:color="auto" w:fill="D0CEC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B4EB0B3" w14:textId="77777777" w:rsidR="00AC3B16" w:rsidRPr="00AC3B16" w:rsidRDefault="00AC3B16" w:rsidP="00AC3B16">
            <w:pPr>
              <w:jc w:val="both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/>
                <w:bCs/>
                <w:sz w:val="20"/>
                <w:szCs w:val="20"/>
                <w:lang w:val="fr-FR"/>
              </w:rPr>
              <w:lastRenderedPageBreak/>
              <w:t>Activités</w:t>
            </w:r>
          </w:p>
        </w:tc>
        <w:tc>
          <w:tcPr>
            <w:tcW w:w="752" w:type="pct"/>
            <w:tcBorders>
              <w:bottom w:val="single" w:sz="4" w:space="0" w:color="000000"/>
            </w:tcBorders>
            <w:shd w:val="clear" w:color="auto" w:fill="D0CEC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4DDB226" w14:textId="77777777" w:rsidR="00AC3B16" w:rsidRPr="00AC3B16" w:rsidRDefault="00AC3B16" w:rsidP="00AC3B16">
            <w:pPr>
              <w:jc w:val="both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/>
                <w:bCs/>
                <w:sz w:val="20"/>
                <w:szCs w:val="20"/>
                <w:lang w:val="fr-FR"/>
              </w:rPr>
              <w:t>Entité chargée de la mise en œuvre</w:t>
            </w:r>
          </w:p>
        </w:tc>
        <w:tc>
          <w:tcPr>
            <w:tcW w:w="445" w:type="pct"/>
            <w:tcBorders>
              <w:bottom w:val="single" w:sz="4" w:space="0" w:color="000000"/>
            </w:tcBorders>
            <w:shd w:val="clear" w:color="auto" w:fill="D0CECE"/>
          </w:tcPr>
          <w:p w14:paraId="68081D97" w14:textId="77777777" w:rsidR="00AC3B16" w:rsidRPr="00AC3B16" w:rsidRDefault="00AC3B16" w:rsidP="00AC3B16">
            <w:pPr>
              <w:jc w:val="both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/>
                <w:bCs/>
                <w:sz w:val="20"/>
                <w:szCs w:val="20"/>
                <w:lang w:val="fr-FR"/>
              </w:rPr>
              <w:t>Priorité</w:t>
            </w:r>
            <w:r w:rsidRPr="00AC3B16">
              <w:rPr>
                <w:rFonts w:cs="Arial"/>
                <w:b/>
                <w:bCs/>
                <w:sz w:val="20"/>
                <w:szCs w:val="20"/>
                <w:vertAlign w:val="superscript"/>
                <w:lang w:val="fr-FR"/>
              </w:rPr>
              <w:footnoteReference w:id="1"/>
            </w:r>
          </w:p>
        </w:tc>
        <w:tc>
          <w:tcPr>
            <w:tcW w:w="1685" w:type="pct"/>
            <w:tcBorders>
              <w:bottom w:val="single" w:sz="4" w:space="0" w:color="000000"/>
            </w:tcBorders>
            <w:shd w:val="clear" w:color="auto" w:fill="D0CEC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A641621" w14:textId="48F8BEDB" w:rsidR="00AC3B16" w:rsidRPr="00AC3B16" w:rsidRDefault="00AC3B16" w:rsidP="00AC3B16">
            <w:pPr>
              <w:jc w:val="both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fr-FR"/>
              </w:rPr>
              <w:t xml:space="preserve">Recommandations du </w:t>
            </w:r>
            <w:r w:rsidRPr="00AC3B16">
              <w:rPr>
                <w:rFonts w:cs="Arial"/>
                <w:b/>
                <w:bCs/>
                <w:sz w:val="20"/>
                <w:szCs w:val="20"/>
                <w:lang w:val="fr-FR"/>
              </w:rPr>
              <w:t xml:space="preserve">Comité consultatif </w:t>
            </w:r>
          </w:p>
        </w:tc>
      </w:tr>
      <w:tr w:rsidR="00AC3B16" w:rsidRPr="00AC3B16" w14:paraId="0C02AAA1" w14:textId="77777777" w:rsidTr="00AC3B16">
        <w:trPr>
          <w:cantSplit/>
          <w:trHeight w:val="293"/>
        </w:trPr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88D9EBD" w14:textId="77777777" w:rsidR="00AC3B16" w:rsidRPr="00AC3B16" w:rsidRDefault="00AC3B16" w:rsidP="0086294A">
            <w:pPr>
              <w:numPr>
                <w:ilvl w:val="0"/>
                <w:numId w:val="3"/>
              </w:numPr>
              <w:ind w:left="420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Capacités techniques :</w:t>
            </w:r>
          </w:p>
        </w:tc>
        <w:tc>
          <w:tcPr>
            <w:tcW w:w="7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C0F6FF6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46E5CA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5EA63C8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</w:p>
        </w:tc>
      </w:tr>
      <w:tr w:rsidR="00AC3B16" w:rsidRPr="00AC3B16" w14:paraId="696885E1" w14:textId="77777777" w:rsidTr="00AC3B16">
        <w:trPr>
          <w:cantSplit/>
          <w:trHeight w:val="293"/>
        </w:trPr>
        <w:tc>
          <w:tcPr>
            <w:tcW w:w="2118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D589417" w14:textId="77777777" w:rsidR="00AC3B16" w:rsidRPr="00AC3B16" w:rsidRDefault="00AC3B16" w:rsidP="0086294A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Élaborer ou mettre à jour/traduire et diffuser des guides d’identification ;</w:t>
            </w:r>
          </w:p>
        </w:tc>
        <w:tc>
          <w:tcPr>
            <w:tcW w:w="752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A3619A3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 xml:space="preserve">Signataires </w:t>
            </w:r>
          </w:p>
          <w:p w14:paraId="78824F8A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 xml:space="preserve">Comité consultatif </w:t>
            </w:r>
          </w:p>
        </w:tc>
        <w:tc>
          <w:tcPr>
            <w:tcW w:w="445" w:type="pct"/>
            <w:tcBorders>
              <w:top w:val="single" w:sz="4" w:space="0" w:color="000000"/>
            </w:tcBorders>
          </w:tcPr>
          <w:p w14:paraId="3A324C5B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685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6A81633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Les guides d’identification doivent être élaborés selon les besoins de la région. Il faudra peut-être mener des études afin d’établir une liste des espèces présentes dans certaines zones et régions ; une coopération avec la CITES et l’OAA est recommandée.</w:t>
            </w:r>
          </w:p>
        </w:tc>
      </w:tr>
      <w:tr w:rsidR="00AC3B16" w:rsidRPr="00AC3B16" w14:paraId="7034E10A" w14:textId="77777777" w:rsidTr="00AC3B16">
        <w:trPr>
          <w:cantSplit/>
          <w:trHeight w:val="293"/>
        </w:trPr>
        <w:tc>
          <w:tcPr>
            <w:tcW w:w="2118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9E50365" w14:textId="77777777" w:rsidR="00AC3B16" w:rsidRPr="00AC3B16" w:rsidRDefault="00AC3B16" w:rsidP="0086294A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Élaborer des guides d’identification CMS/CITES en plusieurs langues.</w:t>
            </w:r>
          </w:p>
        </w:tc>
        <w:tc>
          <w:tcPr>
            <w:tcW w:w="752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1C020CC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Signataires</w:t>
            </w:r>
          </w:p>
          <w:p w14:paraId="12B6E331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Comité consultatif</w:t>
            </w:r>
          </w:p>
        </w:tc>
        <w:tc>
          <w:tcPr>
            <w:tcW w:w="445" w:type="pct"/>
            <w:tcBorders>
              <w:top w:val="single" w:sz="4" w:space="0" w:color="000000"/>
            </w:tcBorders>
          </w:tcPr>
          <w:p w14:paraId="0D36814E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685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F0B5124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</w:p>
        </w:tc>
      </w:tr>
      <w:tr w:rsidR="00AC3B16" w:rsidRPr="00AC3B16" w14:paraId="5CA1871A" w14:textId="77777777" w:rsidTr="00AC3B16">
        <w:trPr>
          <w:cantSplit/>
          <w:trHeight w:val="293"/>
        </w:trPr>
        <w:tc>
          <w:tcPr>
            <w:tcW w:w="2118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7AA2C5A" w14:textId="77777777" w:rsidR="00AC3B16" w:rsidRPr="00AC3B16" w:rsidRDefault="00AC3B16" w:rsidP="0086294A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Identifier les supports de formation existants ou en élaborer de nouveaux, y compris pour la Formation des Formateurs (</w:t>
            </w:r>
            <w:proofErr w:type="spellStart"/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FdF</w:t>
            </w:r>
            <w:proofErr w:type="spellEnd"/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), sur :</w:t>
            </w:r>
          </w:p>
          <w:p w14:paraId="16744BF2" w14:textId="77777777" w:rsidR="00AC3B16" w:rsidRPr="00AC3B16" w:rsidRDefault="00AC3B16" w:rsidP="0086294A">
            <w:pPr>
              <w:numPr>
                <w:ilvl w:val="1"/>
                <w:numId w:val="11"/>
              </w:num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l’identification des espèces ;</w:t>
            </w:r>
          </w:p>
          <w:p w14:paraId="06922ED3" w14:textId="77777777" w:rsidR="00AC3B16" w:rsidRPr="00AC3B16" w:rsidRDefault="00AC3B16" w:rsidP="0086294A">
            <w:pPr>
              <w:numPr>
                <w:ilvl w:val="1"/>
                <w:numId w:val="11"/>
              </w:num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la documentation des protocoles normalisés ;</w:t>
            </w:r>
          </w:p>
          <w:p w14:paraId="311B1910" w14:textId="77777777" w:rsidR="00AC3B16" w:rsidRPr="00AC3B16" w:rsidRDefault="00AC3B16" w:rsidP="0086294A">
            <w:pPr>
              <w:numPr>
                <w:ilvl w:val="1"/>
                <w:numId w:val="11"/>
              </w:num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la collecte et la communication des données (dont l’analyse préliminaire, le stockage des données) ;</w:t>
            </w:r>
          </w:p>
          <w:p w14:paraId="779D4E6E" w14:textId="77777777" w:rsidR="00AC3B16" w:rsidRPr="00AC3B16" w:rsidRDefault="00AC3B16" w:rsidP="0086294A">
            <w:pPr>
              <w:numPr>
                <w:ilvl w:val="1"/>
                <w:numId w:val="11"/>
              </w:num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la manipulation sûre et les techniques de remise à l’eau.</w:t>
            </w:r>
          </w:p>
        </w:tc>
        <w:tc>
          <w:tcPr>
            <w:tcW w:w="752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8D6C712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Signataires en coopération avec les ORGP</w:t>
            </w:r>
          </w:p>
        </w:tc>
        <w:tc>
          <w:tcPr>
            <w:tcW w:w="445" w:type="pct"/>
          </w:tcPr>
          <w:p w14:paraId="129FFA26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685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E4C39E8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 xml:space="preserve">L’OAA fournit déjà des supports de formation sur la collecte, l’analyse et la communication des données ; l’Agence américaine d'observation océanique et atmosphérique des États-Unis (NOAA) et d’autres </w:t>
            </w:r>
            <w:proofErr w:type="gramStart"/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fournissent</w:t>
            </w:r>
            <w:proofErr w:type="gramEnd"/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 xml:space="preserve"> des guides sur la manipulation sûre et les techniques de remise à l’eau.</w:t>
            </w:r>
          </w:p>
          <w:p w14:paraId="6D56324D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</w:p>
          <w:p w14:paraId="1ED49695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</w:p>
        </w:tc>
      </w:tr>
      <w:tr w:rsidR="00AC3B16" w:rsidRPr="00AC3B16" w14:paraId="1ACBD724" w14:textId="77777777" w:rsidTr="00AC3B16">
        <w:trPr>
          <w:cantSplit/>
          <w:trHeight w:val="293"/>
        </w:trPr>
        <w:tc>
          <w:tcPr>
            <w:tcW w:w="2118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BC8DA65" w14:textId="77777777" w:rsidR="00AC3B16" w:rsidRPr="00AC3B16" w:rsidRDefault="00AC3B16" w:rsidP="0086294A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Proposer des formations ou informer les Signataires des ateliers de formation pertinents dans leur région.</w:t>
            </w:r>
          </w:p>
        </w:tc>
        <w:tc>
          <w:tcPr>
            <w:tcW w:w="752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36F2863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 xml:space="preserve">Signataires </w:t>
            </w:r>
          </w:p>
          <w:p w14:paraId="7A6D33AE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Comité consultatif</w:t>
            </w:r>
          </w:p>
          <w:p w14:paraId="4A64929F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Partenaires coopérants</w:t>
            </w:r>
          </w:p>
          <w:p w14:paraId="0F59B3B5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Secrétariat</w:t>
            </w:r>
          </w:p>
        </w:tc>
        <w:tc>
          <w:tcPr>
            <w:tcW w:w="445" w:type="pct"/>
          </w:tcPr>
          <w:p w14:paraId="7F4FE757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2</w:t>
            </w:r>
          </w:p>
        </w:tc>
        <w:tc>
          <w:tcPr>
            <w:tcW w:w="1685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76AE479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Les Signataires ayant des besoins de renforcement des capacités peuvent être invités à des ateliers régionaux organisés par d’autres Signataires, organisations pertinentes ou partenaires coopérants.</w:t>
            </w:r>
          </w:p>
        </w:tc>
      </w:tr>
      <w:tr w:rsidR="00AC3B16" w:rsidRPr="00AC3B16" w14:paraId="33EC31E0" w14:textId="77777777" w:rsidTr="00AC3B16">
        <w:trPr>
          <w:cantSplit/>
          <w:trHeight w:val="293"/>
        </w:trPr>
        <w:tc>
          <w:tcPr>
            <w:tcW w:w="2118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9094A1C" w14:textId="77777777" w:rsidR="00AC3B16" w:rsidRPr="00AC3B16" w:rsidRDefault="00AC3B16" w:rsidP="0086294A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lastRenderedPageBreak/>
              <w:t>Faciliter l’échange de connaissances et d’expertise entre les Signataires au sein des régions et entre elles.</w:t>
            </w:r>
          </w:p>
        </w:tc>
        <w:tc>
          <w:tcPr>
            <w:tcW w:w="752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46CD955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Signataires</w:t>
            </w:r>
          </w:p>
          <w:p w14:paraId="2EDA5E75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Comité consultatif</w:t>
            </w:r>
          </w:p>
          <w:p w14:paraId="0A667A69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Partenaires coopérants</w:t>
            </w:r>
          </w:p>
          <w:p w14:paraId="1872C1B3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Secrétariat</w:t>
            </w:r>
          </w:p>
        </w:tc>
        <w:tc>
          <w:tcPr>
            <w:tcW w:w="445" w:type="pct"/>
          </w:tcPr>
          <w:p w14:paraId="057DA24F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685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FC85F9B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Cela peut prendre la forme d’ateliers de formation ou de fourniture de supports de formation ; stockage de supports de formation.</w:t>
            </w:r>
          </w:p>
          <w:p w14:paraId="05088BEA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Mise à disposition de bases de données et aide à l’analyse et à la communication.</w:t>
            </w:r>
          </w:p>
        </w:tc>
      </w:tr>
      <w:tr w:rsidR="00AC3B16" w:rsidRPr="00AC3B16" w14:paraId="550E13C9" w14:textId="77777777" w:rsidTr="00AC3B16">
        <w:trPr>
          <w:cantSplit/>
          <w:trHeight w:val="293"/>
        </w:trPr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7423C1D" w14:textId="77777777" w:rsidR="00AC3B16" w:rsidRPr="00AC3B16" w:rsidRDefault="00AC3B16" w:rsidP="0086294A">
            <w:pPr>
              <w:numPr>
                <w:ilvl w:val="0"/>
                <w:numId w:val="3"/>
              </w:numPr>
              <w:ind w:left="420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Élaboration des politiques :</w:t>
            </w:r>
          </w:p>
        </w:tc>
        <w:tc>
          <w:tcPr>
            <w:tcW w:w="7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308E0EE" w14:textId="77777777" w:rsidR="00AC3B16" w:rsidRPr="00AC3B16" w:rsidRDefault="00AC3B16" w:rsidP="00AC3B16">
            <w:p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A9CD5F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B389738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</w:p>
        </w:tc>
      </w:tr>
      <w:tr w:rsidR="00AC3B16" w:rsidRPr="00AC3B16" w14:paraId="27CA33AC" w14:textId="77777777" w:rsidTr="00AC3B16">
        <w:trPr>
          <w:cantSplit/>
          <w:trHeight w:val="293"/>
        </w:trPr>
        <w:tc>
          <w:tcPr>
            <w:tcW w:w="2118" w:type="pct"/>
            <w:tcBorders>
              <w:top w:val="single" w:sz="4" w:space="0" w:color="000000"/>
              <w:bottom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819FB0F" w14:textId="77777777" w:rsidR="00AC3B16" w:rsidRPr="00AC3B16" w:rsidRDefault="00AC3B16" w:rsidP="0086294A">
            <w:pPr>
              <w:numPr>
                <w:ilvl w:val="0"/>
                <w:numId w:val="4"/>
              </w:num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Analyser les stratégies et la législation nationales et donner des orientations.</w:t>
            </w:r>
          </w:p>
        </w:tc>
        <w:tc>
          <w:tcPr>
            <w:tcW w:w="752" w:type="pct"/>
            <w:tcBorders>
              <w:top w:val="single" w:sz="4" w:space="0" w:color="000000"/>
              <w:bottom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7C13DA6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Signataires</w:t>
            </w:r>
          </w:p>
          <w:p w14:paraId="0B66E2EC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Secrétariat</w:t>
            </w:r>
          </w:p>
          <w:p w14:paraId="051C3481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Partenaires coopérants</w:t>
            </w:r>
          </w:p>
        </w:tc>
        <w:tc>
          <w:tcPr>
            <w:tcW w:w="445" w:type="pct"/>
            <w:tcBorders>
              <w:top w:val="single" w:sz="4" w:space="0" w:color="000000"/>
              <w:bottom w:val="single" w:sz="4" w:space="0" w:color="000000"/>
            </w:tcBorders>
          </w:tcPr>
          <w:p w14:paraId="2616F841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1</w:t>
            </w:r>
          </w:p>
          <w:p w14:paraId="5A3EA2B7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</w:p>
          <w:p w14:paraId="2FF51CCD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sur demande</w:t>
            </w:r>
          </w:p>
        </w:tc>
        <w:tc>
          <w:tcPr>
            <w:tcW w:w="1685" w:type="pct"/>
            <w:tcBorders>
              <w:top w:val="single" w:sz="4" w:space="0" w:color="000000"/>
              <w:bottom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95EA189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Sur demande des Signataires ;</w:t>
            </w:r>
          </w:p>
          <w:p w14:paraId="6E680665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Les organismes régionaux des pêches pourront peut-être aider à analyser les stratégies.</w:t>
            </w:r>
          </w:p>
        </w:tc>
      </w:tr>
      <w:tr w:rsidR="00AC3B16" w:rsidRPr="00AC3B16" w14:paraId="45FFB030" w14:textId="77777777" w:rsidTr="005D4053">
        <w:trPr>
          <w:cantSplit/>
          <w:trHeight w:val="29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32D2561" w14:textId="77777777" w:rsidR="00AC3B16" w:rsidRPr="00AC3B16" w:rsidRDefault="00AC3B16" w:rsidP="0086294A">
            <w:pPr>
              <w:numPr>
                <w:ilvl w:val="0"/>
                <w:numId w:val="3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Conformité et application des espèces inscrites à la CMS :</w:t>
            </w:r>
          </w:p>
        </w:tc>
      </w:tr>
      <w:tr w:rsidR="00AC3B16" w:rsidRPr="00AC3B16" w14:paraId="258E7E83" w14:textId="77777777" w:rsidTr="00AC3B16">
        <w:trPr>
          <w:cantSplit/>
          <w:trHeight w:val="293"/>
        </w:trPr>
        <w:tc>
          <w:tcPr>
            <w:tcW w:w="2118" w:type="pct"/>
            <w:tcBorders>
              <w:bottom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D16F2E2" w14:textId="77777777" w:rsidR="00AC3B16" w:rsidRPr="00AC3B16" w:rsidRDefault="00AC3B16" w:rsidP="0086294A">
            <w:pPr>
              <w:numPr>
                <w:ilvl w:val="0"/>
                <w:numId w:val="9"/>
              </w:num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Proposer des formations et élaborer des supports de formation pour le personnel national en charge de la surveillance et de l’application.</w:t>
            </w:r>
          </w:p>
        </w:tc>
        <w:tc>
          <w:tcPr>
            <w:tcW w:w="752" w:type="pct"/>
            <w:tcBorders>
              <w:bottom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470B2F2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Signataires</w:t>
            </w:r>
          </w:p>
          <w:p w14:paraId="228DEF05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Partenaires coopérants</w:t>
            </w:r>
          </w:p>
        </w:tc>
        <w:tc>
          <w:tcPr>
            <w:tcW w:w="445" w:type="pct"/>
            <w:tcBorders>
              <w:bottom w:val="single" w:sz="4" w:space="0" w:color="000000"/>
            </w:tcBorders>
          </w:tcPr>
          <w:p w14:paraId="3A174518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685" w:type="pct"/>
            <w:tcBorders>
              <w:bottom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9C27EFD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 xml:space="preserve">Les organismes régionaux des pêches pourront peut-être aider sur ce point. </w:t>
            </w:r>
          </w:p>
        </w:tc>
      </w:tr>
      <w:tr w:rsidR="00AC3B16" w:rsidRPr="00AC3B16" w14:paraId="44150788" w14:textId="77777777" w:rsidTr="00AC3B16">
        <w:trPr>
          <w:cantSplit/>
          <w:trHeight w:val="293"/>
        </w:trPr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6982FD2" w14:textId="77777777" w:rsidR="00AC3B16" w:rsidRPr="00AC3B16" w:rsidRDefault="00AC3B16" w:rsidP="0086294A">
            <w:pPr>
              <w:numPr>
                <w:ilvl w:val="0"/>
                <w:numId w:val="3"/>
              </w:numPr>
              <w:ind w:left="420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Conservation et réhabilitation des habitats :</w:t>
            </w:r>
          </w:p>
        </w:tc>
        <w:tc>
          <w:tcPr>
            <w:tcW w:w="7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76F6905" w14:textId="77777777" w:rsidR="00AC3B16" w:rsidRPr="00AC3B16" w:rsidRDefault="00AC3B16" w:rsidP="00AC3B16">
            <w:p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1CEDF0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8E0D33F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</w:p>
        </w:tc>
      </w:tr>
      <w:tr w:rsidR="00AC3B16" w:rsidRPr="00AC3B16" w14:paraId="6011F849" w14:textId="77777777" w:rsidTr="00AC3B16">
        <w:trPr>
          <w:cantSplit/>
          <w:trHeight w:val="293"/>
        </w:trPr>
        <w:tc>
          <w:tcPr>
            <w:tcW w:w="2118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5CEB89B" w14:textId="77777777" w:rsidR="00AC3B16" w:rsidRPr="00AC3B16" w:rsidRDefault="00AC3B16" w:rsidP="0086294A">
            <w:pPr>
              <w:numPr>
                <w:ilvl w:val="0"/>
                <w:numId w:val="5"/>
              </w:num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Assister les Signataires dans l’aménagement des espaces marins.</w:t>
            </w:r>
          </w:p>
          <w:p w14:paraId="168D0819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752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B7C6F3D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 xml:space="preserve">Signataires </w:t>
            </w:r>
          </w:p>
          <w:p w14:paraId="2FC44DEE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Comité consultatif</w:t>
            </w:r>
          </w:p>
        </w:tc>
        <w:tc>
          <w:tcPr>
            <w:tcW w:w="445" w:type="pct"/>
            <w:tcBorders>
              <w:top w:val="single" w:sz="4" w:space="0" w:color="000000"/>
            </w:tcBorders>
          </w:tcPr>
          <w:p w14:paraId="18EE63FA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685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C7E305C" w14:textId="45276FD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proofErr w:type="spellStart"/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Veuillez vous</w:t>
            </w:r>
            <w:proofErr w:type="spellEnd"/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 xml:space="preserve"> référer au</w:t>
            </w:r>
            <w:r>
              <w:rPr>
                <w:rFonts w:cs="Arial"/>
                <w:bCs/>
                <w:sz w:val="20"/>
                <w:szCs w:val="20"/>
                <w:lang w:val="fr-FR"/>
              </w:rPr>
              <w:t xml:space="preserve"> document CMS/</w:t>
            </w:r>
            <w:proofErr w:type="spellStart"/>
            <w:r>
              <w:rPr>
                <w:rFonts w:cs="Arial"/>
                <w:bCs/>
                <w:sz w:val="20"/>
                <w:szCs w:val="20"/>
                <w:lang w:val="fr-FR"/>
              </w:rPr>
              <w:t>Sharks</w:t>
            </w:r>
            <w:proofErr w:type="spellEnd"/>
            <w:r>
              <w:rPr>
                <w:rFonts w:cs="Arial"/>
                <w:bCs/>
                <w:sz w:val="20"/>
                <w:szCs w:val="20"/>
                <w:lang w:val="fr-FR"/>
              </w:rPr>
              <w:t>/MOS3/</w:t>
            </w:r>
            <w:proofErr w:type="spellStart"/>
            <w:r>
              <w:rPr>
                <w:rFonts w:cs="Arial"/>
                <w:bCs/>
                <w:sz w:val="20"/>
                <w:szCs w:val="20"/>
                <w:lang w:val="fr-FR"/>
              </w:rPr>
              <w:t>Outcome</w:t>
            </w:r>
            <w:proofErr w:type="spellEnd"/>
            <w:r>
              <w:rPr>
                <w:rFonts w:cs="Arial"/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rFonts w:cs="Arial"/>
                <w:bCs/>
                <w:sz w:val="20"/>
                <w:szCs w:val="20"/>
                <w:lang w:val="fr-FR"/>
              </w:rPr>
              <w:t>3.x</w:t>
            </w: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 xml:space="preserve"> .</w:t>
            </w:r>
            <w:proofErr w:type="gramEnd"/>
          </w:p>
        </w:tc>
      </w:tr>
      <w:tr w:rsidR="00AC3B16" w:rsidRPr="00AC3B16" w14:paraId="0DDE2230" w14:textId="77777777" w:rsidTr="00AC3B16">
        <w:trPr>
          <w:cantSplit/>
          <w:trHeight w:val="833"/>
        </w:trPr>
        <w:tc>
          <w:tcPr>
            <w:tcW w:w="2118" w:type="pct"/>
            <w:tcBorders>
              <w:bottom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C6EF192" w14:textId="77777777" w:rsidR="00AC3B16" w:rsidRPr="00AC3B16" w:rsidRDefault="00AC3B16" w:rsidP="0086294A">
            <w:pPr>
              <w:numPr>
                <w:ilvl w:val="0"/>
                <w:numId w:val="5"/>
              </w:num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Aider à l’élaboration de plans de gestion.</w:t>
            </w:r>
          </w:p>
        </w:tc>
        <w:tc>
          <w:tcPr>
            <w:tcW w:w="752" w:type="pct"/>
            <w:tcBorders>
              <w:bottom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7363AD7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 xml:space="preserve">Signataires </w:t>
            </w:r>
          </w:p>
          <w:p w14:paraId="367C2AEA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Comité consultatif</w:t>
            </w:r>
          </w:p>
        </w:tc>
        <w:tc>
          <w:tcPr>
            <w:tcW w:w="445" w:type="pct"/>
            <w:tcBorders>
              <w:bottom w:val="single" w:sz="4" w:space="0" w:color="000000"/>
            </w:tcBorders>
          </w:tcPr>
          <w:p w14:paraId="5487208F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685" w:type="pct"/>
            <w:tcBorders>
              <w:bottom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EF8E7B6" w14:textId="60DFBDB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proofErr w:type="spellStart"/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Veuillez vous</w:t>
            </w:r>
            <w:proofErr w:type="spellEnd"/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 xml:space="preserve"> référer au</w:t>
            </w:r>
            <w:r>
              <w:rPr>
                <w:rFonts w:cs="Arial"/>
                <w:bCs/>
                <w:sz w:val="20"/>
                <w:szCs w:val="20"/>
                <w:lang w:val="fr-FR"/>
              </w:rPr>
              <w:t xml:space="preserve"> document CMS/</w:t>
            </w:r>
            <w:proofErr w:type="spellStart"/>
            <w:r>
              <w:rPr>
                <w:rFonts w:cs="Arial"/>
                <w:bCs/>
                <w:sz w:val="20"/>
                <w:szCs w:val="20"/>
                <w:lang w:val="fr-FR"/>
              </w:rPr>
              <w:t>Sharks</w:t>
            </w:r>
            <w:proofErr w:type="spellEnd"/>
            <w:r>
              <w:rPr>
                <w:rFonts w:cs="Arial"/>
                <w:bCs/>
                <w:sz w:val="20"/>
                <w:szCs w:val="20"/>
                <w:lang w:val="fr-FR"/>
              </w:rPr>
              <w:t>/MOS3/</w:t>
            </w:r>
            <w:proofErr w:type="spellStart"/>
            <w:r>
              <w:rPr>
                <w:rFonts w:cs="Arial"/>
                <w:bCs/>
                <w:sz w:val="20"/>
                <w:szCs w:val="20"/>
                <w:lang w:val="fr-FR"/>
              </w:rPr>
              <w:t>Outcome</w:t>
            </w:r>
            <w:proofErr w:type="spellEnd"/>
            <w:r>
              <w:rPr>
                <w:rFonts w:cs="Arial"/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rFonts w:cs="Arial"/>
                <w:bCs/>
                <w:sz w:val="20"/>
                <w:szCs w:val="20"/>
                <w:lang w:val="fr-FR"/>
              </w:rPr>
              <w:t>3.x</w:t>
            </w: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 xml:space="preserve"> .</w:t>
            </w:r>
            <w:proofErr w:type="gramEnd"/>
          </w:p>
        </w:tc>
      </w:tr>
      <w:tr w:rsidR="00AC3B16" w:rsidRPr="00AC3B16" w14:paraId="26514258" w14:textId="77777777" w:rsidTr="005D4053">
        <w:trPr>
          <w:cantSplit/>
          <w:trHeight w:val="29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DD24296" w14:textId="77777777" w:rsidR="00AC3B16" w:rsidRPr="00AC3B16" w:rsidRDefault="00AC3B16" w:rsidP="0086294A">
            <w:pPr>
              <w:numPr>
                <w:ilvl w:val="0"/>
                <w:numId w:val="3"/>
              </w:numPr>
              <w:ind w:left="420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 xml:space="preserve">Développement et gestion de projets de conservation : </w:t>
            </w:r>
          </w:p>
        </w:tc>
      </w:tr>
      <w:tr w:rsidR="00AC3B16" w:rsidRPr="00AC3B16" w14:paraId="6DC2203A" w14:textId="77777777" w:rsidTr="00AC3B16">
        <w:trPr>
          <w:cantSplit/>
          <w:trHeight w:val="1020"/>
        </w:trPr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66AF93F" w14:textId="77777777" w:rsidR="00AC3B16" w:rsidRPr="00AC3B16" w:rsidRDefault="00AC3B16" w:rsidP="0086294A">
            <w:pPr>
              <w:numPr>
                <w:ilvl w:val="0"/>
                <w:numId w:val="6"/>
              </w:num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Stimuler et encourager le développement de projets, par ex. par le biais de subventions de démarrage</w:t>
            </w:r>
          </w:p>
          <w:p w14:paraId="20E8A01C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7530AD2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Signataires</w:t>
            </w:r>
          </w:p>
          <w:p w14:paraId="67D2DA0D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Secrétariat</w:t>
            </w:r>
          </w:p>
          <w:p w14:paraId="1F0414AB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Partenaires coopérants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A5D4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AC3B16">
              <w:rPr>
                <w:rFonts w:cs="Arial"/>
                <w:bCs/>
                <w:sz w:val="20"/>
                <w:szCs w:val="20"/>
                <w:lang w:val="fr-FR"/>
              </w:rPr>
              <w:t>2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37BC1AE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</w:p>
        </w:tc>
      </w:tr>
      <w:tr w:rsidR="00AC3B16" w:rsidRPr="00AC3B16" w14:paraId="06BA59AB" w14:textId="77777777" w:rsidTr="00AC3B16">
        <w:trPr>
          <w:cantSplit/>
          <w:trHeight w:val="2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B5B4030" w14:textId="77777777" w:rsidR="00AC3B16" w:rsidRPr="00AC3B16" w:rsidRDefault="00AC3B16" w:rsidP="0086294A">
            <w:pPr>
              <w:numPr>
                <w:ilvl w:val="0"/>
                <w:numId w:val="15"/>
              </w:numPr>
              <w:ind w:left="420"/>
              <w:contextualSpacing/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lastRenderedPageBreak/>
              <w:t>Sensibilisation et communication/Participation de la communauté :</w:t>
            </w:r>
          </w:p>
        </w:tc>
      </w:tr>
      <w:tr w:rsidR="00AC3B16" w:rsidRPr="00AC3B16" w14:paraId="32B4F478" w14:textId="77777777" w:rsidTr="00AC3B16">
        <w:trPr>
          <w:cantSplit/>
          <w:trHeight w:val="293"/>
        </w:trPr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60E9BA3" w14:textId="77777777" w:rsidR="00AC3B16" w:rsidRPr="00AC3B16" w:rsidRDefault="00AC3B16" w:rsidP="0086294A">
            <w:pPr>
              <w:numPr>
                <w:ilvl w:val="0"/>
                <w:numId w:val="12"/>
              </w:numPr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Élaborer des supports de sensibilisation ou identifier les supports existants pouvant être adaptés aux besoins des différents pays et régions.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9757DA0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Partenaires coopérants</w:t>
            </w:r>
          </w:p>
          <w:p w14:paraId="5B6152EB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Secrétariat</w:t>
            </w:r>
          </w:p>
          <w:p w14:paraId="3FB6DB83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Comité consultatif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F7C5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2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0A12FD6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Des informations sont peut-être déjà disponibles par le biais des Signataires ou des ONG.</w:t>
            </w:r>
          </w:p>
        </w:tc>
      </w:tr>
      <w:tr w:rsidR="00AC3B16" w:rsidRPr="00AC3B16" w14:paraId="72E12A36" w14:textId="77777777" w:rsidTr="00AC3B16">
        <w:trPr>
          <w:cantSplit/>
          <w:trHeight w:val="293"/>
        </w:trPr>
        <w:tc>
          <w:tcPr>
            <w:tcW w:w="2118" w:type="pct"/>
            <w:tcBorders>
              <w:top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3135D42" w14:textId="77777777" w:rsidR="00AC3B16" w:rsidRPr="00AC3B16" w:rsidRDefault="00AC3B16" w:rsidP="0086294A">
            <w:pPr>
              <w:numPr>
                <w:ilvl w:val="0"/>
                <w:numId w:val="12"/>
              </w:numPr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Aider à l’élaboration d’évènements communautaires afin de sensibiliser à la conservation des requins.</w:t>
            </w:r>
          </w:p>
        </w:tc>
        <w:tc>
          <w:tcPr>
            <w:tcW w:w="752" w:type="pct"/>
            <w:tcBorders>
              <w:top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8ED999F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Signataires</w:t>
            </w:r>
          </w:p>
          <w:p w14:paraId="4E2B5123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Partenaires coopérants</w:t>
            </w:r>
          </w:p>
          <w:p w14:paraId="6ED4869A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Secrétariat</w:t>
            </w:r>
          </w:p>
        </w:tc>
        <w:tc>
          <w:tcPr>
            <w:tcW w:w="445" w:type="pct"/>
            <w:tcBorders>
              <w:top w:val="single" w:sz="4" w:space="0" w:color="auto"/>
            </w:tcBorders>
          </w:tcPr>
          <w:p w14:paraId="6A3CA872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2</w:t>
            </w:r>
          </w:p>
        </w:tc>
        <w:tc>
          <w:tcPr>
            <w:tcW w:w="1685" w:type="pct"/>
            <w:tcBorders>
              <w:top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41709D6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</w:p>
        </w:tc>
      </w:tr>
      <w:tr w:rsidR="00AC3B16" w:rsidRPr="00AC3B16" w14:paraId="544B8A3B" w14:textId="77777777" w:rsidTr="005D4053">
        <w:trPr>
          <w:cantSplit/>
          <w:trHeight w:val="23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31D40CB" w14:textId="77777777" w:rsidR="00AC3B16" w:rsidRPr="00AC3B16" w:rsidRDefault="00AC3B16" w:rsidP="0086294A">
            <w:pPr>
              <w:numPr>
                <w:ilvl w:val="0"/>
                <w:numId w:val="13"/>
              </w:numPr>
              <w:ind w:left="420" w:hanging="180"/>
              <w:contextualSpacing/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Coopération avec d’autres États de l’aire de répartition :</w:t>
            </w:r>
          </w:p>
        </w:tc>
      </w:tr>
      <w:tr w:rsidR="00AC3B16" w:rsidRPr="00AC3B16" w14:paraId="7457D8F6" w14:textId="77777777" w:rsidTr="00AC3B16">
        <w:trPr>
          <w:cantSplit/>
          <w:trHeight w:val="293"/>
        </w:trPr>
        <w:tc>
          <w:tcPr>
            <w:tcW w:w="2118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102D525" w14:textId="77777777" w:rsidR="00AC3B16" w:rsidRPr="00AC3B16" w:rsidRDefault="00AC3B16" w:rsidP="0086294A">
            <w:pPr>
              <w:numPr>
                <w:ilvl w:val="0"/>
                <w:numId w:val="7"/>
              </w:numPr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Informer les Signataires des opportunités de coopération régionale ou internationale, telles que les initiatives, projets ou réunions internationaux.</w:t>
            </w:r>
          </w:p>
        </w:tc>
        <w:tc>
          <w:tcPr>
            <w:tcW w:w="752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4B7D2DF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Signataires</w:t>
            </w:r>
          </w:p>
          <w:p w14:paraId="6B21742D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Secrétariat</w:t>
            </w:r>
          </w:p>
          <w:p w14:paraId="7D72C0E7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Partenaires coopérants</w:t>
            </w:r>
          </w:p>
        </w:tc>
        <w:tc>
          <w:tcPr>
            <w:tcW w:w="445" w:type="pct"/>
            <w:tcBorders>
              <w:top w:val="single" w:sz="4" w:space="0" w:color="000000"/>
            </w:tcBorders>
          </w:tcPr>
          <w:p w14:paraId="365F671D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1</w:t>
            </w:r>
          </w:p>
        </w:tc>
        <w:tc>
          <w:tcPr>
            <w:tcW w:w="1685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5038D7E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Cette activité pourrait être réalisée à faible coût.</w:t>
            </w:r>
          </w:p>
        </w:tc>
      </w:tr>
      <w:tr w:rsidR="00AC3B16" w:rsidRPr="00AC3B16" w14:paraId="4E725A1A" w14:textId="77777777" w:rsidTr="00AC3B16">
        <w:trPr>
          <w:cantSplit/>
          <w:trHeight w:val="293"/>
        </w:trPr>
        <w:tc>
          <w:tcPr>
            <w:tcW w:w="2118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92B4C6D" w14:textId="77777777" w:rsidR="00AC3B16" w:rsidRPr="00AC3B16" w:rsidRDefault="00AC3B16" w:rsidP="0086294A">
            <w:pPr>
              <w:numPr>
                <w:ilvl w:val="0"/>
                <w:numId w:val="7"/>
              </w:numPr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Encourager les Signataires à s’engager dans les accords internationaux existants (Conventions maritimes régionales, Plans d’action et autres organes régionaux)</w:t>
            </w:r>
          </w:p>
        </w:tc>
        <w:tc>
          <w:tcPr>
            <w:tcW w:w="752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D1FE390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Signataires</w:t>
            </w:r>
          </w:p>
          <w:p w14:paraId="0B69EFB8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Partenaires coopérants</w:t>
            </w:r>
          </w:p>
        </w:tc>
        <w:tc>
          <w:tcPr>
            <w:tcW w:w="445" w:type="pct"/>
            <w:tcBorders>
              <w:top w:val="single" w:sz="4" w:space="0" w:color="000000"/>
            </w:tcBorders>
          </w:tcPr>
          <w:p w14:paraId="7A1E289A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2</w:t>
            </w:r>
          </w:p>
        </w:tc>
        <w:tc>
          <w:tcPr>
            <w:tcW w:w="1685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2089613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</w:p>
        </w:tc>
      </w:tr>
      <w:tr w:rsidR="00AC3B16" w:rsidRPr="00AC3B16" w14:paraId="5B23B8A0" w14:textId="77777777" w:rsidTr="00AC3B16">
        <w:trPr>
          <w:cantSplit/>
          <w:trHeight w:val="163"/>
        </w:trPr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3F77363" w14:textId="77777777" w:rsidR="00AC3B16" w:rsidRPr="00AC3B16" w:rsidRDefault="00AC3B16" w:rsidP="0086294A">
            <w:pPr>
              <w:numPr>
                <w:ilvl w:val="0"/>
                <w:numId w:val="14"/>
              </w:numPr>
              <w:ind w:left="420"/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Financement :</w:t>
            </w:r>
          </w:p>
        </w:tc>
        <w:tc>
          <w:tcPr>
            <w:tcW w:w="7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7124B93" w14:textId="77777777" w:rsidR="00AC3B16" w:rsidRPr="00AC3B16" w:rsidRDefault="00AC3B16" w:rsidP="00AC3B16">
            <w:pPr>
              <w:ind w:left="406"/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E9F921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2073FB4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</w:p>
        </w:tc>
      </w:tr>
      <w:tr w:rsidR="00AC3B16" w:rsidRPr="00AC3B16" w14:paraId="0203E6B4" w14:textId="77777777" w:rsidTr="00AC3B16">
        <w:trPr>
          <w:cantSplit/>
          <w:trHeight w:val="1303"/>
        </w:trPr>
        <w:tc>
          <w:tcPr>
            <w:tcW w:w="2118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46EC2F9" w14:textId="77777777" w:rsidR="00AC3B16" w:rsidRPr="00AC3B16" w:rsidRDefault="00AC3B16" w:rsidP="0086294A">
            <w:pPr>
              <w:numPr>
                <w:ilvl w:val="0"/>
                <w:numId w:val="8"/>
              </w:numPr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 xml:space="preserve">Identifier les fonds appropriés et sensibiliser les Signataires et les États de l’aire de répartition aux opportunités de financement pour la mise en œuvre du </w:t>
            </w:r>
            <w:proofErr w:type="spellStart"/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MdE</w:t>
            </w:r>
            <w:proofErr w:type="spellEnd"/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.</w:t>
            </w:r>
          </w:p>
        </w:tc>
        <w:tc>
          <w:tcPr>
            <w:tcW w:w="752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83A6CB3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Signataires</w:t>
            </w:r>
          </w:p>
          <w:p w14:paraId="6468E93D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Secrétariat</w:t>
            </w:r>
          </w:p>
          <w:p w14:paraId="27C8BDAD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Part</w:t>
            </w:r>
            <w:bookmarkStart w:id="0" w:name="_GoBack"/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e</w:t>
            </w:r>
            <w:bookmarkEnd w:id="0"/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naires coopérants</w:t>
            </w:r>
          </w:p>
          <w:p w14:paraId="5B215AA1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Comité consultatif</w:t>
            </w:r>
          </w:p>
        </w:tc>
        <w:tc>
          <w:tcPr>
            <w:tcW w:w="445" w:type="pct"/>
            <w:tcBorders>
              <w:top w:val="single" w:sz="4" w:space="0" w:color="000000"/>
            </w:tcBorders>
          </w:tcPr>
          <w:p w14:paraId="299EC8F4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1</w:t>
            </w:r>
          </w:p>
          <w:p w14:paraId="4B8FF2C9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</w:p>
        </w:tc>
        <w:tc>
          <w:tcPr>
            <w:tcW w:w="1685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C61E10F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Les Signataires, les partenaires coopérants et le Comité consultatif pourront peut-être donner leur avis sur les propositions.</w:t>
            </w:r>
          </w:p>
        </w:tc>
      </w:tr>
      <w:tr w:rsidR="00AC3B16" w:rsidRPr="00AC3B16" w14:paraId="18D22B5D" w14:textId="77777777" w:rsidTr="00AC3B16">
        <w:trPr>
          <w:cantSplit/>
          <w:trHeight w:val="293"/>
        </w:trPr>
        <w:tc>
          <w:tcPr>
            <w:tcW w:w="2118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AB62A61" w14:textId="77777777" w:rsidR="00AC3B16" w:rsidRPr="00AC3B16" w:rsidRDefault="00AC3B16" w:rsidP="0086294A">
            <w:pPr>
              <w:numPr>
                <w:ilvl w:val="0"/>
                <w:numId w:val="8"/>
              </w:numPr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 xml:space="preserve">Encourager les organismes de financement à prendre en compte les inscriptions à la CMS comme critère pour évaluer les propositions. </w:t>
            </w:r>
          </w:p>
        </w:tc>
        <w:tc>
          <w:tcPr>
            <w:tcW w:w="752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984C4C6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Signataires</w:t>
            </w:r>
          </w:p>
          <w:p w14:paraId="257DC23D" w14:textId="77777777" w:rsidR="00AC3B16" w:rsidRPr="00AC3B16" w:rsidRDefault="00AC3B16" w:rsidP="0086294A">
            <w:pPr>
              <w:numPr>
                <w:ilvl w:val="0"/>
                <w:numId w:val="10"/>
              </w:numPr>
              <w:ind w:left="406"/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Secrétariat</w:t>
            </w:r>
          </w:p>
        </w:tc>
        <w:tc>
          <w:tcPr>
            <w:tcW w:w="445" w:type="pct"/>
          </w:tcPr>
          <w:p w14:paraId="64915D9F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  <w:r w:rsidRPr="00AC3B16">
              <w:rPr>
                <w:rFonts w:cs="Arial"/>
                <w:bCs/>
                <w:sz w:val="19"/>
                <w:szCs w:val="19"/>
                <w:lang w:val="fr-FR"/>
              </w:rPr>
              <w:t>2</w:t>
            </w:r>
          </w:p>
        </w:tc>
        <w:tc>
          <w:tcPr>
            <w:tcW w:w="1685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7C19732" w14:textId="77777777" w:rsidR="00AC3B16" w:rsidRPr="00AC3B16" w:rsidRDefault="00AC3B16" w:rsidP="00AC3B16">
            <w:pPr>
              <w:jc w:val="both"/>
              <w:rPr>
                <w:rFonts w:cs="Arial"/>
                <w:bCs/>
                <w:sz w:val="19"/>
                <w:szCs w:val="19"/>
                <w:lang w:val="fr-FR"/>
              </w:rPr>
            </w:pPr>
          </w:p>
        </w:tc>
      </w:tr>
    </w:tbl>
    <w:p w14:paraId="654D07C1" w14:textId="25DEEE2E" w:rsidR="00507D30" w:rsidRPr="008B21D9" w:rsidRDefault="00507D30" w:rsidP="00AC3B16">
      <w:pPr>
        <w:tabs>
          <w:tab w:val="left" w:pos="6075"/>
        </w:tabs>
        <w:rPr>
          <w:rFonts w:cs="Arial"/>
          <w:sz w:val="22"/>
          <w:szCs w:val="22"/>
        </w:rPr>
      </w:pPr>
    </w:p>
    <w:sectPr w:rsidR="00507D30" w:rsidRPr="008B21D9" w:rsidSect="00AC3B16">
      <w:headerReference w:type="even" r:id="rId15"/>
      <w:head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06380" w14:textId="77777777" w:rsidR="00334DF5" w:rsidRDefault="00334DF5" w:rsidP="00F9613E">
      <w:r>
        <w:separator/>
      </w:r>
    </w:p>
  </w:endnote>
  <w:endnote w:type="continuationSeparator" w:id="0">
    <w:p w14:paraId="74341DD4" w14:textId="77777777" w:rsidR="00334DF5" w:rsidRDefault="00334DF5" w:rsidP="00F9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7532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7EDD6" w14:textId="58A72097" w:rsidR="00645C72" w:rsidRDefault="00645C72" w:rsidP="009E2F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DB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DF661" w14:textId="77777777" w:rsidR="00334DF5" w:rsidRDefault="00334DF5" w:rsidP="00F9613E">
      <w:r>
        <w:separator/>
      </w:r>
    </w:p>
  </w:footnote>
  <w:footnote w:type="continuationSeparator" w:id="0">
    <w:p w14:paraId="11D7C386" w14:textId="77777777" w:rsidR="00334DF5" w:rsidRDefault="00334DF5" w:rsidP="00F9613E">
      <w:r>
        <w:continuationSeparator/>
      </w:r>
    </w:p>
  </w:footnote>
  <w:footnote w:id="1">
    <w:p w14:paraId="51D64C3A" w14:textId="77777777" w:rsidR="00AC3B16" w:rsidRPr="00AC3B16" w:rsidRDefault="00AC3B16" w:rsidP="00AC3B16">
      <w:pPr>
        <w:pStyle w:val="FootnoteText"/>
        <w:rPr>
          <w:rFonts w:ascii="Arial" w:hAnsi="Arial" w:cs="Arial"/>
          <w:sz w:val="18"/>
          <w:szCs w:val="18"/>
          <w:lang w:val="fr-FR"/>
        </w:rPr>
      </w:pPr>
      <w:r w:rsidRPr="00AC3B16">
        <w:rPr>
          <w:rStyle w:val="FootnoteReference"/>
          <w:rFonts w:ascii="Arial" w:hAnsi="Arial" w:cs="Arial"/>
          <w:sz w:val="18"/>
          <w:szCs w:val="18"/>
        </w:rPr>
        <w:footnoteRef/>
      </w:r>
      <w:r w:rsidRPr="00AC3B16">
        <w:rPr>
          <w:rFonts w:ascii="Arial" w:hAnsi="Arial" w:cs="Arial"/>
          <w:sz w:val="18"/>
          <w:szCs w:val="18"/>
          <w:lang w:val="fr-FR"/>
        </w:rPr>
        <w:t xml:space="preserve"> Les activités ont été classées par ordre de priorité, sur une échelle de 1 (priorité absolue) à 3 (priorité la plus faible).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E081B" w14:textId="77777777" w:rsidR="00645C72" w:rsidRPr="009E2F56" w:rsidRDefault="00645C72" w:rsidP="009E2F56">
    <w:pPr>
      <w:pStyle w:val="Heading1"/>
      <w:keepNext w:val="0"/>
      <w:pBdr>
        <w:bottom w:val="single" w:sz="4" w:space="1" w:color="auto"/>
      </w:pBdr>
      <w:spacing w:before="0"/>
      <w:rPr>
        <w:rFonts w:ascii="Arial" w:hAnsi="Arial" w:cs="Arial"/>
        <w:b/>
        <w:i/>
        <w:color w:val="auto"/>
        <w:sz w:val="18"/>
        <w:szCs w:val="18"/>
      </w:rPr>
    </w:pPr>
    <w:r>
      <w:rPr>
        <w:rFonts w:ascii="Arial" w:hAnsi="Arial" w:cs="Arial"/>
        <w:i/>
        <w:color w:val="auto"/>
        <w:sz w:val="18"/>
        <w:szCs w:val="18"/>
      </w:rPr>
      <w:t>CMS/Sharks/MOS3/Doc. 7.1</w:t>
    </w:r>
  </w:p>
  <w:p w14:paraId="34E9D8BD" w14:textId="77777777" w:rsidR="00645C72" w:rsidRDefault="00645C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84DDA" w14:textId="77777777" w:rsidR="00645C72" w:rsidRDefault="00645C72" w:rsidP="00F9613E">
    <w:pPr>
      <w:pStyle w:val="Header"/>
      <w:tabs>
        <w:tab w:val="clear" w:pos="4680"/>
        <w:tab w:val="clear" w:pos="9360"/>
        <w:tab w:val="left" w:pos="271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68518" w14:textId="77777777" w:rsidR="00645C72" w:rsidRDefault="00645C72" w:rsidP="00F9613E">
    <w:pPr>
      <w:pStyle w:val="Header"/>
      <w:ind w:firstLine="7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178BC" w14:textId="24DBA52C" w:rsidR="00AC3B16" w:rsidRPr="00AC3B16" w:rsidRDefault="00710DBA" w:rsidP="00AC3B16">
    <w:pPr>
      <w:pStyle w:val="Heading1"/>
      <w:keepNext w:val="0"/>
      <w:pBdr>
        <w:bottom w:val="single" w:sz="4" w:space="1" w:color="auto"/>
      </w:pBdr>
      <w:spacing w:before="0"/>
      <w:rPr>
        <w:rFonts w:ascii="Arial" w:hAnsi="Arial" w:cs="Arial"/>
        <w:b/>
        <w:i/>
        <w:color w:val="auto"/>
        <w:sz w:val="18"/>
        <w:szCs w:val="18"/>
      </w:rPr>
    </w:pPr>
    <w:r>
      <w:rPr>
        <w:rFonts w:ascii="Arial" w:hAnsi="Arial" w:cs="Arial"/>
        <w:i/>
        <w:color w:val="auto"/>
        <w:sz w:val="18"/>
        <w:szCs w:val="18"/>
      </w:rPr>
      <w:t>CMS/Sharks/MOS3/CRP5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D971D" w14:textId="04E11184" w:rsidR="00AC3B16" w:rsidRPr="00AC3B16" w:rsidRDefault="00710DBA" w:rsidP="00AC3B16">
    <w:pPr>
      <w:pStyle w:val="Heading1"/>
      <w:keepNext w:val="0"/>
      <w:pBdr>
        <w:bottom w:val="single" w:sz="4" w:space="1" w:color="auto"/>
      </w:pBdr>
      <w:spacing w:before="0"/>
      <w:jc w:val="right"/>
      <w:rPr>
        <w:rFonts w:ascii="Arial" w:hAnsi="Arial" w:cs="Arial"/>
        <w:b/>
        <w:i/>
        <w:color w:val="auto"/>
        <w:sz w:val="18"/>
        <w:szCs w:val="18"/>
      </w:rPr>
    </w:pPr>
    <w:r>
      <w:rPr>
        <w:rFonts w:ascii="Arial" w:hAnsi="Arial" w:cs="Arial"/>
        <w:i/>
        <w:color w:val="auto"/>
        <w:sz w:val="18"/>
        <w:szCs w:val="18"/>
      </w:rPr>
      <w:t>CMS/Sharks/MOS3/CRP5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1182D"/>
    <w:multiLevelType w:val="hybridMultilevel"/>
    <w:tmpl w:val="6AD86520"/>
    <w:lvl w:ilvl="0" w:tplc="815660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41AD"/>
    <w:multiLevelType w:val="hybridMultilevel"/>
    <w:tmpl w:val="31C25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6CBC"/>
    <w:multiLevelType w:val="hybridMultilevel"/>
    <w:tmpl w:val="4002E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403"/>
    <w:multiLevelType w:val="hybridMultilevel"/>
    <w:tmpl w:val="35FC86C0"/>
    <w:lvl w:ilvl="0" w:tplc="475E45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F79AA"/>
    <w:multiLevelType w:val="hybridMultilevel"/>
    <w:tmpl w:val="46D02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97943"/>
    <w:multiLevelType w:val="hybridMultilevel"/>
    <w:tmpl w:val="12E05D64"/>
    <w:lvl w:ilvl="0" w:tplc="603C5CF4">
      <w:start w:val="8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E6235"/>
    <w:multiLevelType w:val="hybridMultilevel"/>
    <w:tmpl w:val="CB5E8B96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23802"/>
    <w:multiLevelType w:val="hybridMultilevel"/>
    <w:tmpl w:val="260C0B4C"/>
    <w:lvl w:ilvl="0" w:tplc="BF8AA8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371D3"/>
    <w:multiLevelType w:val="hybridMultilevel"/>
    <w:tmpl w:val="B57AB6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F3333"/>
    <w:multiLevelType w:val="hybridMultilevel"/>
    <w:tmpl w:val="226AB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F7C4D"/>
    <w:multiLevelType w:val="hybridMultilevel"/>
    <w:tmpl w:val="D3B8F79C"/>
    <w:lvl w:ilvl="0" w:tplc="A90003F8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344EB"/>
    <w:multiLevelType w:val="hybridMultilevel"/>
    <w:tmpl w:val="F09423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615C0"/>
    <w:multiLevelType w:val="hybridMultilevel"/>
    <w:tmpl w:val="36E2C9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2289B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515C5"/>
    <w:multiLevelType w:val="hybridMultilevel"/>
    <w:tmpl w:val="DEE69C78"/>
    <w:lvl w:ilvl="0" w:tplc="3B5EF336">
      <w:start w:val="1"/>
      <w:numFmt w:val="decimal"/>
      <w:lvlText w:val="%1."/>
      <w:lvlJc w:val="left"/>
      <w:pPr>
        <w:ind w:left="81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44529"/>
    <w:multiLevelType w:val="hybridMultilevel"/>
    <w:tmpl w:val="FF80753C"/>
    <w:lvl w:ilvl="0" w:tplc="2AFEAE14">
      <w:start w:val="7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11"/>
  </w:num>
  <w:num w:numId="8">
    <w:abstractNumId w:val="9"/>
  </w:num>
  <w:num w:numId="9">
    <w:abstractNumId w:val="0"/>
  </w:num>
  <w:num w:numId="10">
    <w:abstractNumId w:val="6"/>
  </w:num>
  <w:num w:numId="11">
    <w:abstractNumId w:val="12"/>
  </w:num>
  <w:num w:numId="12">
    <w:abstractNumId w:val="3"/>
  </w:num>
  <w:num w:numId="13">
    <w:abstractNumId w:val="14"/>
  </w:num>
  <w:num w:numId="14">
    <w:abstractNumId w:val="5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3E"/>
    <w:rsid w:val="00002B23"/>
    <w:rsid w:val="000113B4"/>
    <w:rsid w:val="000135F5"/>
    <w:rsid w:val="0001612B"/>
    <w:rsid w:val="00016F15"/>
    <w:rsid w:val="00016F2E"/>
    <w:rsid w:val="000172FF"/>
    <w:rsid w:val="00021A8A"/>
    <w:rsid w:val="00024234"/>
    <w:rsid w:val="00030B3C"/>
    <w:rsid w:val="00031E66"/>
    <w:rsid w:val="0004093F"/>
    <w:rsid w:val="00041CB9"/>
    <w:rsid w:val="00042BAE"/>
    <w:rsid w:val="00043ECC"/>
    <w:rsid w:val="00060708"/>
    <w:rsid w:val="00062482"/>
    <w:rsid w:val="00067523"/>
    <w:rsid w:val="00075172"/>
    <w:rsid w:val="00082093"/>
    <w:rsid w:val="000842EB"/>
    <w:rsid w:val="00086B47"/>
    <w:rsid w:val="00091078"/>
    <w:rsid w:val="00091B67"/>
    <w:rsid w:val="000A1662"/>
    <w:rsid w:val="000A19FC"/>
    <w:rsid w:val="000A28F2"/>
    <w:rsid w:val="000A5777"/>
    <w:rsid w:val="000A73AF"/>
    <w:rsid w:val="000B032A"/>
    <w:rsid w:val="000C0569"/>
    <w:rsid w:val="000C0F08"/>
    <w:rsid w:val="000C3DBB"/>
    <w:rsid w:val="000C4B9A"/>
    <w:rsid w:val="000C618B"/>
    <w:rsid w:val="000D5B2E"/>
    <w:rsid w:val="000E02F0"/>
    <w:rsid w:val="000E0369"/>
    <w:rsid w:val="000E2B7D"/>
    <w:rsid w:val="000E7FA2"/>
    <w:rsid w:val="000F484D"/>
    <w:rsid w:val="0010142E"/>
    <w:rsid w:val="001024A7"/>
    <w:rsid w:val="00104609"/>
    <w:rsid w:val="00105C5D"/>
    <w:rsid w:val="00111CC3"/>
    <w:rsid w:val="001236A0"/>
    <w:rsid w:val="00127A2F"/>
    <w:rsid w:val="00132412"/>
    <w:rsid w:val="00136388"/>
    <w:rsid w:val="001437E1"/>
    <w:rsid w:val="0014777B"/>
    <w:rsid w:val="00163119"/>
    <w:rsid w:val="00163F6C"/>
    <w:rsid w:val="00170844"/>
    <w:rsid w:val="0017241C"/>
    <w:rsid w:val="00176880"/>
    <w:rsid w:val="00182288"/>
    <w:rsid w:val="001864FB"/>
    <w:rsid w:val="00192D74"/>
    <w:rsid w:val="001A10EB"/>
    <w:rsid w:val="001A5890"/>
    <w:rsid w:val="001A641B"/>
    <w:rsid w:val="001B3DE3"/>
    <w:rsid w:val="001B5A1A"/>
    <w:rsid w:val="001C12F8"/>
    <w:rsid w:val="001C1F0A"/>
    <w:rsid w:val="001C34AB"/>
    <w:rsid w:val="001E2BF6"/>
    <w:rsid w:val="001E34E4"/>
    <w:rsid w:val="001E4552"/>
    <w:rsid w:val="001F0C42"/>
    <w:rsid w:val="001F4456"/>
    <w:rsid w:val="00203E6F"/>
    <w:rsid w:val="00207F6A"/>
    <w:rsid w:val="00213804"/>
    <w:rsid w:val="002252BE"/>
    <w:rsid w:val="00242643"/>
    <w:rsid w:val="00243353"/>
    <w:rsid w:val="00247010"/>
    <w:rsid w:val="0025155A"/>
    <w:rsid w:val="00253A0D"/>
    <w:rsid w:val="002541B3"/>
    <w:rsid w:val="00260749"/>
    <w:rsid w:val="00263AF0"/>
    <w:rsid w:val="0026456B"/>
    <w:rsid w:val="00267597"/>
    <w:rsid w:val="002703AB"/>
    <w:rsid w:val="00293B53"/>
    <w:rsid w:val="00297E13"/>
    <w:rsid w:val="002A399E"/>
    <w:rsid w:val="002A4553"/>
    <w:rsid w:val="002A76FF"/>
    <w:rsid w:val="002C0A1A"/>
    <w:rsid w:val="002E031D"/>
    <w:rsid w:val="002E728E"/>
    <w:rsid w:val="002F1DD9"/>
    <w:rsid w:val="00307FDA"/>
    <w:rsid w:val="00310785"/>
    <w:rsid w:val="00310D1D"/>
    <w:rsid w:val="0031769B"/>
    <w:rsid w:val="003210F3"/>
    <w:rsid w:val="00324591"/>
    <w:rsid w:val="00327509"/>
    <w:rsid w:val="00327EAB"/>
    <w:rsid w:val="003338C3"/>
    <w:rsid w:val="00334DF5"/>
    <w:rsid w:val="0034196B"/>
    <w:rsid w:val="00341DC3"/>
    <w:rsid w:val="00354CDB"/>
    <w:rsid w:val="0036094A"/>
    <w:rsid w:val="003636A2"/>
    <w:rsid w:val="00363884"/>
    <w:rsid w:val="00364C48"/>
    <w:rsid w:val="00370931"/>
    <w:rsid w:val="0038095F"/>
    <w:rsid w:val="003823F7"/>
    <w:rsid w:val="00383EFD"/>
    <w:rsid w:val="00384B93"/>
    <w:rsid w:val="00387538"/>
    <w:rsid w:val="00394785"/>
    <w:rsid w:val="00397875"/>
    <w:rsid w:val="003A26E7"/>
    <w:rsid w:val="003B2C62"/>
    <w:rsid w:val="003C504C"/>
    <w:rsid w:val="003D16CB"/>
    <w:rsid w:val="003E1E12"/>
    <w:rsid w:val="003E44E9"/>
    <w:rsid w:val="003E5FB5"/>
    <w:rsid w:val="003F0802"/>
    <w:rsid w:val="003F4265"/>
    <w:rsid w:val="00400C88"/>
    <w:rsid w:val="00402382"/>
    <w:rsid w:val="0040619D"/>
    <w:rsid w:val="00411ECB"/>
    <w:rsid w:val="00420E31"/>
    <w:rsid w:val="004215E5"/>
    <w:rsid w:val="0042186B"/>
    <w:rsid w:val="004260D2"/>
    <w:rsid w:val="004265E3"/>
    <w:rsid w:val="00430907"/>
    <w:rsid w:val="004314E0"/>
    <w:rsid w:val="00433375"/>
    <w:rsid w:val="00434A4B"/>
    <w:rsid w:val="0043508F"/>
    <w:rsid w:val="00435A5D"/>
    <w:rsid w:val="00436CC6"/>
    <w:rsid w:val="004429A7"/>
    <w:rsid w:val="00445B8F"/>
    <w:rsid w:val="00452B4A"/>
    <w:rsid w:val="00457036"/>
    <w:rsid w:val="00466F61"/>
    <w:rsid w:val="0047026A"/>
    <w:rsid w:val="00470B8C"/>
    <w:rsid w:val="004710FD"/>
    <w:rsid w:val="00471705"/>
    <w:rsid w:val="004757D5"/>
    <w:rsid w:val="00483A4B"/>
    <w:rsid w:val="00493367"/>
    <w:rsid w:val="00495346"/>
    <w:rsid w:val="004A24F9"/>
    <w:rsid w:val="004A4AAC"/>
    <w:rsid w:val="004A747B"/>
    <w:rsid w:val="004B6D6C"/>
    <w:rsid w:val="004B7B9F"/>
    <w:rsid w:val="004D041D"/>
    <w:rsid w:val="004D2FEB"/>
    <w:rsid w:val="004D7892"/>
    <w:rsid w:val="004E05D0"/>
    <w:rsid w:val="004E5B85"/>
    <w:rsid w:val="004F0F0D"/>
    <w:rsid w:val="004F18E7"/>
    <w:rsid w:val="004F1F95"/>
    <w:rsid w:val="004F5C79"/>
    <w:rsid w:val="00504BA4"/>
    <w:rsid w:val="00507463"/>
    <w:rsid w:val="00507D30"/>
    <w:rsid w:val="00511401"/>
    <w:rsid w:val="00517425"/>
    <w:rsid w:val="0052212B"/>
    <w:rsid w:val="0052680E"/>
    <w:rsid w:val="005273BA"/>
    <w:rsid w:val="00531522"/>
    <w:rsid w:val="00535604"/>
    <w:rsid w:val="00541F0A"/>
    <w:rsid w:val="00545413"/>
    <w:rsid w:val="00552097"/>
    <w:rsid w:val="00560C40"/>
    <w:rsid w:val="0056386D"/>
    <w:rsid w:val="00566310"/>
    <w:rsid w:val="0057514C"/>
    <w:rsid w:val="00576416"/>
    <w:rsid w:val="0058312F"/>
    <w:rsid w:val="00587950"/>
    <w:rsid w:val="00592720"/>
    <w:rsid w:val="0059422E"/>
    <w:rsid w:val="0059662B"/>
    <w:rsid w:val="00597C15"/>
    <w:rsid w:val="005A02F8"/>
    <w:rsid w:val="005A3527"/>
    <w:rsid w:val="005B2ED0"/>
    <w:rsid w:val="005B6EAC"/>
    <w:rsid w:val="005C26A6"/>
    <w:rsid w:val="005C4FDD"/>
    <w:rsid w:val="005C717F"/>
    <w:rsid w:val="005D6E3D"/>
    <w:rsid w:val="005E7DBC"/>
    <w:rsid w:val="00600AD3"/>
    <w:rsid w:val="00601B94"/>
    <w:rsid w:val="00612CA0"/>
    <w:rsid w:val="00614070"/>
    <w:rsid w:val="00615CCC"/>
    <w:rsid w:val="00621437"/>
    <w:rsid w:val="006239CE"/>
    <w:rsid w:val="00623A43"/>
    <w:rsid w:val="0062477C"/>
    <w:rsid w:val="00626C8C"/>
    <w:rsid w:val="00627599"/>
    <w:rsid w:val="006310E7"/>
    <w:rsid w:val="0063288F"/>
    <w:rsid w:val="00633736"/>
    <w:rsid w:val="00641106"/>
    <w:rsid w:val="00641129"/>
    <w:rsid w:val="00642B17"/>
    <w:rsid w:val="006436AC"/>
    <w:rsid w:val="00645C72"/>
    <w:rsid w:val="006529FF"/>
    <w:rsid w:val="00660663"/>
    <w:rsid w:val="006608DE"/>
    <w:rsid w:val="0066413D"/>
    <w:rsid w:val="00667611"/>
    <w:rsid w:val="006767BC"/>
    <w:rsid w:val="0068184D"/>
    <w:rsid w:val="00681C8A"/>
    <w:rsid w:val="0068291D"/>
    <w:rsid w:val="00682E0B"/>
    <w:rsid w:val="00682F3D"/>
    <w:rsid w:val="00684AB2"/>
    <w:rsid w:val="006922AF"/>
    <w:rsid w:val="00695A16"/>
    <w:rsid w:val="006A0845"/>
    <w:rsid w:val="006A1D1C"/>
    <w:rsid w:val="006A6361"/>
    <w:rsid w:val="006B114B"/>
    <w:rsid w:val="006B4FDE"/>
    <w:rsid w:val="006B5088"/>
    <w:rsid w:val="006C238F"/>
    <w:rsid w:val="006F3537"/>
    <w:rsid w:val="00702D48"/>
    <w:rsid w:val="00705305"/>
    <w:rsid w:val="007054C1"/>
    <w:rsid w:val="0070753C"/>
    <w:rsid w:val="00710DBA"/>
    <w:rsid w:val="0071214C"/>
    <w:rsid w:val="00712EE1"/>
    <w:rsid w:val="0073022F"/>
    <w:rsid w:val="007334AE"/>
    <w:rsid w:val="007455AF"/>
    <w:rsid w:val="00745C68"/>
    <w:rsid w:val="00756CDE"/>
    <w:rsid w:val="00764494"/>
    <w:rsid w:val="007723C2"/>
    <w:rsid w:val="0077345A"/>
    <w:rsid w:val="00776D85"/>
    <w:rsid w:val="00782362"/>
    <w:rsid w:val="007A5670"/>
    <w:rsid w:val="007A73B9"/>
    <w:rsid w:val="007B67AD"/>
    <w:rsid w:val="007C5C42"/>
    <w:rsid w:val="007D3EC2"/>
    <w:rsid w:val="007D5231"/>
    <w:rsid w:val="007F04D9"/>
    <w:rsid w:val="00803AB0"/>
    <w:rsid w:val="00805F35"/>
    <w:rsid w:val="00812883"/>
    <w:rsid w:val="00815D25"/>
    <w:rsid w:val="0085031C"/>
    <w:rsid w:val="008516EF"/>
    <w:rsid w:val="008528BA"/>
    <w:rsid w:val="00854DCD"/>
    <w:rsid w:val="00857099"/>
    <w:rsid w:val="0086083E"/>
    <w:rsid w:val="00861B9F"/>
    <w:rsid w:val="0086294A"/>
    <w:rsid w:val="00863F78"/>
    <w:rsid w:val="008712E9"/>
    <w:rsid w:val="00883957"/>
    <w:rsid w:val="00886EE2"/>
    <w:rsid w:val="0088717C"/>
    <w:rsid w:val="00887A8B"/>
    <w:rsid w:val="00892319"/>
    <w:rsid w:val="008A29A2"/>
    <w:rsid w:val="008A3386"/>
    <w:rsid w:val="008B0FFE"/>
    <w:rsid w:val="008B1373"/>
    <w:rsid w:val="008B21D9"/>
    <w:rsid w:val="008B2363"/>
    <w:rsid w:val="008C2611"/>
    <w:rsid w:val="008C3FC3"/>
    <w:rsid w:val="008D460C"/>
    <w:rsid w:val="008E7683"/>
    <w:rsid w:val="008F4FDB"/>
    <w:rsid w:val="008F586D"/>
    <w:rsid w:val="008F7B23"/>
    <w:rsid w:val="00904FBE"/>
    <w:rsid w:val="00906C7B"/>
    <w:rsid w:val="009152E0"/>
    <w:rsid w:val="00926262"/>
    <w:rsid w:val="00930518"/>
    <w:rsid w:val="00942C90"/>
    <w:rsid w:val="009470D8"/>
    <w:rsid w:val="009632A6"/>
    <w:rsid w:val="009720FB"/>
    <w:rsid w:val="00983078"/>
    <w:rsid w:val="00987C56"/>
    <w:rsid w:val="00990757"/>
    <w:rsid w:val="0099712C"/>
    <w:rsid w:val="009A48C4"/>
    <w:rsid w:val="009A4C0F"/>
    <w:rsid w:val="009A55EF"/>
    <w:rsid w:val="009A6FE0"/>
    <w:rsid w:val="009A79F5"/>
    <w:rsid w:val="009C00A2"/>
    <w:rsid w:val="009C3435"/>
    <w:rsid w:val="009E2F56"/>
    <w:rsid w:val="009E7856"/>
    <w:rsid w:val="009F303D"/>
    <w:rsid w:val="009F33C8"/>
    <w:rsid w:val="00A05973"/>
    <w:rsid w:val="00A05F5E"/>
    <w:rsid w:val="00A065EB"/>
    <w:rsid w:val="00A07CA0"/>
    <w:rsid w:val="00A14838"/>
    <w:rsid w:val="00A16CA1"/>
    <w:rsid w:val="00A300D8"/>
    <w:rsid w:val="00A42CB2"/>
    <w:rsid w:val="00A4764F"/>
    <w:rsid w:val="00A6048C"/>
    <w:rsid w:val="00A73646"/>
    <w:rsid w:val="00A73976"/>
    <w:rsid w:val="00A76560"/>
    <w:rsid w:val="00A776E9"/>
    <w:rsid w:val="00A81E90"/>
    <w:rsid w:val="00A93167"/>
    <w:rsid w:val="00AB431A"/>
    <w:rsid w:val="00AB4ECE"/>
    <w:rsid w:val="00AC3B16"/>
    <w:rsid w:val="00AC58FF"/>
    <w:rsid w:val="00AC6055"/>
    <w:rsid w:val="00AE4D7D"/>
    <w:rsid w:val="00AE7F00"/>
    <w:rsid w:val="00AF5831"/>
    <w:rsid w:val="00B0519A"/>
    <w:rsid w:val="00B21BC2"/>
    <w:rsid w:val="00B27460"/>
    <w:rsid w:val="00B3050C"/>
    <w:rsid w:val="00B325A9"/>
    <w:rsid w:val="00B348CC"/>
    <w:rsid w:val="00B367AB"/>
    <w:rsid w:val="00B40167"/>
    <w:rsid w:val="00B54222"/>
    <w:rsid w:val="00B54BA6"/>
    <w:rsid w:val="00B62559"/>
    <w:rsid w:val="00B62D9A"/>
    <w:rsid w:val="00B728E5"/>
    <w:rsid w:val="00B75D08"/>
    <w:rsid w:val="00B777F4"/>
    <w:rsid w:val="00B832E4"/>
    <w:rsid w:val="00B85FEE"/>
    <w:rsid w:val="00B87443"/>
    <w:rsid w:val="00B877A0"/>
    <w:rsid w:val="00B90C81"/>
    <w:rsid w:val="00B91B40"/>
    <w:rsid w:val="00B933AD"/>
    <w:rsid w:val="00B94B49"/>
    <w:rsid w:val="00BA1CB4"/>
    <w:rsid w:val="00BA3349"/>
    <w:rsid w:val="00BA531B"/>
    <w:rsid w:val="00BA5743"/>
    <w:rsid w:val="00BB29F6"/>
    <w:rsid w:val="00BB32A0"/>
    <w:rsid w:val="00BB3863"/>
    <w:rsid w:val="00BC5BAA"/>
    <w:rsid w:val="00BD3A61"/>
    <w:rsid w:val="00BE15EA"/>
    <w:rsid w:val="00BE72FF"/>
    <w:rsid w:val="00BF6D99"/>
    <w:rsid w:val="00C060D9"/>
    <w:rsid w:val="00C07551"/>
    <w:rsid w:val="00C149AB"/>
    <w:rsid w:val="00C16191"/>
    <w:rsid w:val="00C20A9C"/>
    <w:rsid w:val="00C37D91"/>
    <w:rsid w:val="00C43240"/>
    <w:rsid w:val="00C45583"/>
    <w:rsid w:val="00C520A1"/>
    <w:rsid w:val="00C52FD2"/>
    <w:rsid w:val="00C65D06"/>
    <w:rsid w:val="00C75D8E"/>
    <w:rsid w:val="00C8436D"/>
    <w:rsid w:val="00C9000A"/>
    <w:rsid w:val="00C91DAE"/>
    <w:rsid w:val="00C9380F"/>
    <w:rsid w:val="00C9637C"/>
    <w:rsid w:val="00C9780B"/>
    <w:rsid w:val="00CA0181"/>
    <w:rsid w:val="00CA0D04"/>
    <w:rsid w:val="00CA725C"/>
    <w:rsid w:val="00CB3E92"/>
    <w:rsid w:val="00CB74EA"/>
    <w:rsid w:val="00CC2480"/>
    <w:rsid w:val="00CC758E"/>
    <w:rsid w:val="00CD27EB"/>
    <w:rsid w:val="00CE1A6A"/>
    <w:rsid w:val="00CE36F4"/>
    <w:rsid w:val="00CE467E"/>
    <w:rsid w:val="00CE72D9"/>
    <w:rsid w:val="00D037DA"/>
    <w:rsid w:val="00D05E61"/>
    <w:rsid w:val="00D06DFB"/>
    <w:rsid w:val="00D06F51"/>
    <w:rsid w:val="00D15F5A"/>
    <w:rsid w:val="00D2281A"/>
    <w:rsid w:val="00D27274"/>
    <w:rsid w:val="00D27EFF"/>
    <w:rsid w:val="00D319B8"/>
    <w:rsid w:val="00D32C50"/>
    <w:rsid w:val="00D44FE8"/>
    <w:rsid w:val="00D532C8"/>
    <w:rsid w:val="00D5436B"/>
    <w:rsid w:val="00D77F4B"/>
    <w:rsid w:val="00D858D4"/>
    <w:rsid w:val="00D9068C"/>
    <w:rsid w:val="00D92764"/>
    <w:rsid w:val="00DA0714"/>
    <w:rsid w:val="00DA13A4"/>
    <w:rsid w:val="00DA2218"/>
    <w:rsid w:val="00DB4299"/>
    <w:rsid w:val="00DC07DC"/>
    <w:rsid w:val="00DC115E"/>
    <w:rsid w:val="00DC70C8"/>
    <w:rsid w:val="00DC71F0"/>
    <w:rsid w:val="00DD1A22"/>
    <w:rsid w:val="00DD34D3"/>
    <w:rsid w:val="00DD4F1F"/>
    <w:rsid w:val="00DF5B76"/>
    <w:rsid w:val="00E137E4"/>
    <w:rsid w:val="00E13C23"/>
    <w:rsid w:val="00E22E93"/>
    <w:rsid w:val="00E24574"/>
    <w:rsid w:val="00E31697"/>
    <w:rsid w:val="00E36874"/>
    <w:rsid w:val="00E409AC"/>
    <w:rsid w:val="00E617D3"/>
    <w:rsid w:val="00E655E6"/>
    <w:rsid w:val="00E660FC"/>
    <w:rsid w:val="00E70ECC"/>
    <w:rsid w:val="00E7286A"/>
    <w:rsid w:val="00E90009"/>
    <w:rsid w:val="00E9420A"/>
    <w:rsid w:val="00EA010D"/>
    <w:rsid w:val="00EA0A3B"/>
    <w:rsid w:val="00EA1307"/>
    <w:rsid w:val="00EA75BD"/>
    <w:rsid w:val="00EC06B5"/>
    <w:rsid w:val="00EC33C2"/>
    <w:rsid w:val="00EC532B"/>
    <w:rsid w:val="00ED52C1"/>
    <w:rsid w:val="00ED6F00"/>
    <w:rsid w:val="00EE695B"/>
    <w:rsid w:val="00EF27EA"/>
    <w:rsid w:val="00EF741D"/>
    <w:rsid w:val="00F034D8"/>
    <w:rsid w:val="00F25494"/>
    <w:rsid w:val="00F25E54"/>
    <w:rsid w:val="00F31435"/>
    <w:rsid w:val="00F31F83"/>
    <w:rsid w:val="00F419FD"/>
    <w:rsid w:val="00F5031F"/>
    <w:rsid w:val="00F511D7"/>
    <w:rsid w:val="00F5345D"/>
    <w:rsid w:val="00F54286"/>
    <w:rsid w:val="00F726E4"/>
    <w:rsid w:val="00F76F52"/>
    <w:rsid w:val="00F801C8"/>
    <w:rsid w:val="00F828D9"/>
    <w:rsid w:val="00F85769"/>
    <w:rsid w:val="00F95B0F"/>
    <w:rsid w:val="00F9613E"/>
    <w:rsid w:val="00F97FDC"/>
    <w:rsid w:val="00FA393C"/>
    <w:rsid w:val="00FA6EE7"/>
    <w:rsid w:val="00FA7DF1"/>
    <w:rsid w:val="00FA7F48"/>
    <w:rsid w:val="00FC210A"/>
    <w:rsid w:val="00FC3939"/>
    <w:rsid w:val="00FC7930"/>
    <w:rsid w:val="00FD13C3"/>
    <w:rsid w:val="00FD26C0"/>
    <w:rsid w:val="00FD4C40"/>
    <w:rsid w:val="00FD6BD9"/>
    <w:rsid w:val="00FE4B5E"/>
    <w:rsid w:val="00FF2F3B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F19E3E"/>
  <w15:docId w15:val="{E67ED7DC-E678-4BDC-A9FD-C2BF62EB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MS normal text body"/>
    <w:qFormat/>
    <w:rsid w:val="00F961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1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613E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1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613E"/>
    <w:rPr>
      <w:rFonts w:ascii="Arial" w:eastAsia="Times New Roman" w:hAnsi="Arial"/>
      <w:b/>
      <w:bCs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F96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13E"/>
    <w:rPr>
      <w:rFonts w:ascii="Arial" w:eastAsia="Times New Roman" w:hAnsi="Arial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F96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13E"/>
    <w:rPr>
      <w:rFonts w:ascii="Arial" w:eastAsia="Times New Roman" w:hAnsi="Arial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13E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4"/>
    </w:rPr>
  </w:style>
  <w:style w:type="character" w:styleId="Hyperlink">
    <w:name w:val="Hyperlink"/>
    <w:uiPriority w:val="99"/>
    <w:rsid w:val="00F961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9613E"/>
    <w:pPr>
      <w:ind w:left="720"/>
      <w:contextualSpacing/>
    </w:pPr>
  </w:style>
  <w:style w:type="table" w:styleId="TableGrid">
    <w:name w:val="Table Grid"/>
    <w:basedOn w:val="TableNormal"/>
    <w:uiPriority w:val="39"/>
    <w:rsid w:val="00F9613E"/>
    <w:pPr>
      <w:spacing w:after="0" w:line="240" w:lineRule="auto"/>
    </w:pPr>
    <w:rPr>
      <w:rFonts w:ascii="Calibri" w:eastAsia="Times New Roman" w:hAnsi="Calibri"/>
      <w:sz w:val="22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6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50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3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31F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31F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31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31F"/>
    <w:rPr>
      <w:rFonts w:ascii="Segoe UI" w:eastAsia="Times New Roman" w:hAnsi="Segoe UI" w:cs="Segoe UI"/>
      <w:sz w:val="18"/>
      <w:szCs w:val="18"/>
    </w:rPr>
  </w:style>
  <w:style w:type="table" w:customStyle="1" w:styleId="GridTable1Light1">
    <w:name w:val="Grid Table 1 Light1"/>
    <w:basedOn w:val="TableNormal"/>
    <w:uiPriority w:val="46"/>
    <w:rsid w:val="007B67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0E7FA2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0EB"/>
    <w:rPr>
      <w:color w:val="808080"/>
      <w:shd w:val="clear" w:color="auto" w:fill="E6E6E6"/>
    </w:rPr>
  </w:style>
  <w:style w:type="table" w:customStyle="1" w:styleId="ListTable1Light-Accent31">
    <w:name w:val="List Table 1 Light - Accent 31"/>
    <w:basedOn w:val="TableNormal"/>
    <w:uiPriority w:val="46"/>
    <w:rsid w:val="008C3F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otnoteReference">
    <w:name w:val="footnote reference"/>
    <w:uiPriority w:val="99"/>
    <w:semiHidden/>
    <w:rsid w:val="004314E0"/>
  </w:style>
  <w:style w:type="paragraph" w:styleId="FootnoteText">
    <w:name w:val="footnote text"/>
    <w:basedOn w:val="Normal"/>
    <w:link w:val="FootnoteTextChar"/>
    <w:uiPriority w:val="99"/>
    <w:semiHidden/>
    <w:rsid w:val="004314E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4E0"/>
    <w:rPr>
      <w:rFonts w:ascii="Times New Roman" w:eastAsia="Times New Roman" w:hAnsi="Times New Roman"/>
      <w:sz w:val="20"/>
      <w:szCs w:val="20"/>
    </w:rPr>
  </w:style>
  <w:style w:type="table" w:customStyle="1" w:styleId="PlainTable41">
    <w:name w:val="Plain Table 41"/>
    <w:basedOn w:val="TableNormal"/>
    <w:uiPriority w:val="44"/>
    <w:rsid w:val="00B367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51">
    <w:name w:val="Grid Table 1 Light - Accent 51"/>
    <w:basedOn w:val="TableNormal"/>
    <w:uiPriority w:val="46"/>
    <w:rsid w:val="00B367A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rsid w:val="00B367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A338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86EE2"/>
    <w:rPr>
      <w:color w:val="954F72" w:themeColor="followedHyperlink"/>
      <w:u w:val="single"/>
    </w:rPr>
  </w:style>
  <w:style w:type="character" w:customStyle="1" w:styleId="username">
    <w:name w:val="username"/>
    <w:basedOn w:val="DefaultParagraphFont"/>
    <w:rsid w:val="0010460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84B93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C3435"/>
    <w:pPr>
      <w:spacing w:after="0" w:line="240" w:lineRule="auto"/>
    </w:pPr>
    <w:rPr>
      <w:rFonts w:ascii="Calibri" w:hAnsi="Calibri" w:cs="Arial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9C3435"/>
    <w:pPr>
      <w:widowControl w:val="0"/>
      <w:suppressAutoHyphens/>
      <w:autoSpaceDE w:val="0"/>
      <w:spacing w:after="0" w:line="240" w:lineRule="auto"/>
    </w:pPr>
    <w:rPr>
      <w:rFonts w:ascii="Helvetica" w:eastAsia="Arial" w:hAnsi="Helvetica" w:cs="Helvetica"/>
      <w:color w:val="000000"/>
      <w:sz w:val="24"/>
      <w:szCs w:val="24"/>
      <w:lang w:val="en-GB" w:eastAsia="ar-SA"/>
    </w:rPr>
  </w:style>
  <w:style w:type="paragraph" w:customStyle="1" w:styleId="CM8">
    <w:name w:val="CM8"/>
    <w:basedOn w:val="WW-Default"/>
    <w:next w:val="WW-Default"/>
    <w:rsid w:val="009C3435"/>
    <w:rPr>
      <w:color w:val="auto"/>
    </w:rPr>
  </w:style>
  <w:style w:type="paragraph" w:customStyle="1" w:styleId="Default">
    <w:name w:val="Default"/>
    <w:rsid w:val="009C3435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C3435"/>
    <w:rPr>
      <w:rFonts w:ascii="Times New Roman" w:hAnsi="Times New Roman"/>
      <w:sz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3435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BC191-9B1E-45B9-8A9F-32F032B8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Pauly</dc:creator>
  <cp:keywords/>
  <dc:description/>
  <cp:lastModifiedBy>Catherine</cp:lastModifiedBy>
  <cp:revision>7</cp:revision>
  <cp:lastPrinted>2018-09-12T10:46:00Z</cp:lastPrinted>
  <dcterms:created xsi:type="dcterms:W3CDTF">2018-12-12T19:21:00Z</dcterms:created>
  <dcterms:modified xsi:type="dcterms:W3CDTF">2018-12-12T22:51:00Z</dcterms:modified>
</cp:coreProperties>
</file>