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94"/>
        <w:tblW w:w="9540" w:type="dxa"/>
        <w:tblBorders>
          <w:insideV w:val="single" w:sz="12" w:space="0" w:color="auto"/>
        </w:tblBorders>
        <w:tblLayout w:type="fixed"/>
        <w:tblCellMar>
          <w:top w:w="198" w:type="dxa"/>
        </w:tblCellMar>
        <w:tblLook w:val="0000" w:firstRow="0" w:lastRow="0" w:firstColumn="0" w:lastColumn="0" w:noHBand="0" w:noVBand="0"/>
      </w:tblPr>
      <w:tblGrid>
        <w:gridCol w:w="1526"/>
        <w:gridCol w:w="4594"/>
        <w:gridCol w:w="3420"/>
      </w:tblGrid>
      <w:tr w:rsidR="00B25614" w:rsidRPr="00FD56E6" w:rsidTr="00F73717">
        <w:trPr>
          <w:cantSplit/>
          <w:trHeight w:val="725"/>
        </w:trPr>
        <w:tc>
          <w:tcPr>
            <w:tcW w:w="9540" w:type="dxa"/>
            <w:gridSpan w:val="3"/>
            <w:tcBorders>
              <w:bottom w:val="single" w:sz="12" w:space="0" w:color="auto"/>
            </w:tcBorders>
            <w:tcMar>
              <w:top w:w="85" w:type="dxa"/>
            </w:tcMar>
          </w:tcPr>
          <w:p w:rsidR="00B25614" w:rsidRPr="00FD56E6" w:rsidRDefault="00F73717" w:rsidP="00F10A48">
            <w:pPr>
              <w:tabs>
                <w:tab w:val="left" w:pos="-1057"/>
                <w:tab w:val="left" w:pos="-720"/>
                <w:tab w:val="left" w:pos="0"/>
                <w:tab w:val="left" w:pos="141"/>
                <w:tab w:val="left" w:pos="720"/>
                <w:tab w:val="right" w:pos="8955"/>
              </w:tabs>
              <w:jc w:val="both"/>
              <w:rPr>
                <w:sz w:val="22"/>
                <w:szCs w:val="22"/>
                <w:lang w:val="en-GB"/>
              </w:rPr>
            </w:pPr>
            <w:r w:rsidRPr="00F9613E">
              <w:rPr>
                <w:noProof/>
              </w:rPr>
              <w:drawing>
                <wp:anchor distT="0" distB="0" distL="114300" distR="114300" simplePos="0" relativeHeight="251663360" behindDoc="0" locked="0" layoutInCell="1" allowOverlap="1" wp14:anchorId="6DF19FE9" wp14:editId="69909E69">
                  <wp:simplePos x="0" y="0"/>
                  <wp:positionH relativeFrom="column">
                    <wp:posOffset>939165</wp:posOffset>
                  </wp:positionH>
                  <wp:positionV relativeFrom="paragraph">
                    <wp:posOffset>207645</wp:posOffset>
                  </wp:positionV>
                  <wp:extent cx="255960"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8BD365" wp14:editId="693996B7">
                  <wp:simplePos x="0" y="0"/>
                  <wp:positionH relativeFrom="column">
                    <wp:posOffset>0</wp:posOffset>
                  </wp:positionH>
                  <wp:positionV relativeFrom="paragraph">
                    <wp:posOffset>169545</wp:posOffset>
                  </wp:positionV>
                  <wp:extent cx="939165" cy="506730"/>
                  <wp:effectExtent l="0" t="0" r="0" b="0"/>
                  <wp:wrapTight wrapText="bothSides">
                    <wp:wrapPolygon edited="0">
                      <wp:start x="2191" y="2436"/>
                      <wp:lineTo x="1314" y="14617"/>
                      <wp:lineTo x="1314" y="18677"/>
                      <wp:lineTo x="19716" y="18677"/>
                      <wp:lineTo x="19278" y="5684"/>
                      <wp:lineTo x="18840" y="2436"/>
                      <wp:lineTo x="2191" y="2436"/>
                    </wp:wrapPolygon>
                  </wp:wrapTight>
                  <wp:docPr id="12" name="Picture 12" descr="UNEnvironment_Logo_Span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nvironment_Logo_Spanis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16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614" w:rsidRPr="00FD56E6">
              <w:rPr>
                <w:sz w:val="22"/>
                <w:szCs w:val="22"/>
                <w:lang w:val="en-GB"/>
              </w:rPr>
              <w:tab/>
            </w:r>
          </w:p>
        </w:tc>
      </w:tr>
      <w:tr w:rsidR="00B25614" w:rsidRPr="00510049" w:rsidTr="00F73717">
        <w:trPr>
          <w:trHeight w:val="1586"/>
        </w:trPr>
        <w:tc>
          <w:tcPr>
            <w:tcW w:w="1526" w:type="dxa"/>
            <w:tcBorders>
              <w:top w:val="single" w:sz="12" w:space="0" w:color="auto"/>
              <w:bottom w:val="single" w:sz="12" w:space="0" w:color="auto"/>
              <w:right w:val="nil"/>
            </w:tcBorders>
            <w:tcMar>
              <w:top w:w="85" w:type="dxa"/>
            </w:tcMar>
          </w:tcPr>
          <w:p w:rsidR="00B25614" w:rsidRPr="00FD56E6" w:rsidRDefault="00B25614" w:rsidP="00F10A48">
            <w:pPr>
              <w:jc w:val="both"/>
              <w:rPr>
                <w:sz w:val="22"/>
                <w:szCs w:val="22"/>
                <w:lang w:val="en-GB"/>
              </w:rPr>
            </w:pPr>
            <w:r>
              <w:rPr>
                <w:noProof/>
              </w:rPr>
              <w:drawing>
                <wp:anchor distT="0" distB="0" distL="114300" distR="114300" simplePos="0" relativeHeight="251659264" behindDoc="0" locked="0" layoutInCell="1" allowOverlap="1" wp14:anchorId="1FA1A0D1" wp14:editId="16A32CAC">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4" w:type="dxa"/>
            <w:tcBorders>
              <w:top w:val="single" w:sz="12" w:space="0" w:color="auto"/>
              <w:left w:val="nil"/>
              <w:bottom w:val="single" w:sz="12" w:space="0" w:color="auto"/>
              <w:right w:val="nil"/>
            </w:tcBorders>
            <w:tcMar>
              <w:top w:w="85" w:type="dxa"/>
            </w:tcMar>
          </w:tcPr>
          <w:p w:rsidR="00B25614" w:rsidRPr="00F73717" w:rsidRDefault="003F19C8" w:rsidP="00F73717">
            <w:pPr>
              <w:spacing w:before="40"/>
              <w:ind w:left="274"/>
              <w:rPr>
                <w:rFonts w:ascii="Arial" w:hAnsi="Arial" w:cs="Arial"/>
                <w:b/>
                <w:bCs/>
                <w:sz w:val="22"/>
                <w:szCs w:val="22"/>
                <w:lang w:val="es-ES"/>
              </w:rPr>
            </w:pPr>
            <w:r w:rsidRPr="00F73717">
              <w:rPr>
                <w:rFonts w:ascii="Arial" w:hAnsi="Arial" w:cs="Arial"/>
                <w:b/>
                <w:bCs/>
                <w:sz w:val="22"/>
                <w:szCs w:val="22"/>
                <w:lang w:val="es-ES"/>
              </w:rPr>
              <w:t>MEMORANDO DE ENTENDIMIENTO SOBRE LA CONSERVACI</w:t>
            </w:r>
            <w:r w:rsidRPr="009A5554">
              <w:rPr>
                <w:rFonts w:ascii="Arial" w:hAnsi="Arial" w:cs="Arial"/>
                <w:b/>
                <w:bCs/>
                <w:sz w:val="22"/>
                <w:szCs w:val="22"/>
                <w:lang w:val="es-ES"/>
              </w:rPr>
              <w:t>Ó</w:t>
            </w:r>
            <w:r w:rsidRPr="00F73717">
              <w:rPr>
                <w:rFonts w:ascii="Arial" w:hAnsi="Arial" w:cs="Arial"/>
                <w:b/>
                <w:bCs/>
                <w:sz w:val="22"/>
                <w:szCs w:val="22"/>
                <w:lang w:val="es-ES"/>
              </w:rPr>
              <w:t>N DE TIBURONES MIGRATORIOS</w:t>
            </w:r>
          </w:p>
        </w:tc>
        <w:tc>
          <w:tcPr>
            <w:tcW w:w="3420" w:type="dxa"/>
            <w:tcBorders>
              <w:top w:val="single" w:sz="12" w:space="0" w:color="auto"/>
              <w:left w:val="nil"/>
              <w:bottom w:val="single" w:sz="12" w:space="0" w:color="auto"/>
            </w:tcBorders>
            <w:tcMar>
              <w:top w:w="85" w:type="dxa"/>
            </w:tcMar>
          </w:tcPr>
          <w:p w:rsidR="00B25614" w:rsidRDefault="007631D7" w:rsidP="007631D7">
            <w:pPr>
              <w:spacing w:before="40" w:after="40"/>
              <w:jc w:val="both"/>
              <w:rPr>
                <w:rFonts w:ascii="Arial" w:hAnsi="Arial" w:cs="Arial"/>
                <w:sz w:val="22"/>
                <w:szCs w:val="22"/>
                <w:lang w:val="fr-FR"/>
              </w:rPr>
            </w:pPr>
            <w:bookmarkStart w:id="0" w:name="_Hlk532417637"/>
            <w:r>
              <w:rPr>
                <w:rFonts w:ascii="Arial" w:hAnsi="Arial" w:cs="Arial"/>
                <w:sz w:val="22"/>
                <w:szCs w:val="22"/>
                <w:lang w:val="fr-FR"/>
              </w:rPr>
              <w:t>CMS/</w:t>
            </w:r>
            <w:proofErr w:type="spellStart"/>
            <w:r>
              <w:rPr>
                <w:rFonts w:ascii="Arial" w:hAnsi="Arial" w:cs="Arial"/>
                <w:sz w:val="22"/>
                <w:szCs w:val="22"/>
                <w:lang w:val="fr-FR"/>
              </w:rPr>
              <w:t>Sharks</w:t>
            </w:r>
            <w:proofErr w:type="spellEnd"/>
            <w:r>
              <w:rPr>
                <w:rFonts w:ascii="Arial" w:hAnsi="Arial" w:cs="Arial"/>
                <w:sz w:val="22"/>
                <w:szCs w:val="22"/>
                <w:lang w:val="fr-FR"/>
              </w:rPr>
              <w:t>/MOS</w:t>
            </w:r>
            <w:r w:rsidR="006E6D52">
              <w:rPr>
                <w:rFonts w:ascii="Arial" w:hAnsi="Arial" w:cs="Arial"/>
                <w:sz w:val="22"/>
                <w:szCs w:val="22"/>
                <w:lang w:val="fr-FR"/>
              </w:rPr>
              <w:t>3</w:t>
            </w:r>
            <w:r>
              <w:rPr>
                <w:rFonts w:ascii="Arial" w:hAnsi="Arial" w:cs="Arial"/>
                <w:sz w:val="22"/>
                <w:szCs w:val="22"/>
                <w:lang w:val="fr-FR"/>
              </w:rPr>
              <w:t>/CRP</w:t>
            </w:r>
            <w:r w:rsidR="008F33E8">
              <w:rPr>
                <w:rFonts w:ascii="Arial" w:hAnsi="Arial" w:cs="Arial"/>
                <w:sz w:val="22"/>
                <w:szCs w:val="22"/>
                <w:lang w:val="fr-FR"/>
              </w:rPr>
              <w:t>6</w:t>
            </w:r>
          </w:p>
          <w:bookmarkEnd w:id="0"/>
          <w:p w:rsidR="007631D7" w:rsidRPr="00766125" w:rsidRDefault="008F33E8" w:rsidP="007631D7">
            <w:pPr>
              <w:spacing w:before="40" w:after="40"/>
              <w:jc w:val="both"/>
              <w:rPr>
                <w:sz w:val="22"/>
                <w:szCs w:val="22"/>
                <w:lang w:val="fr-FR"/>
              </w:rPr>
            </w:pPr>
            <w:r w:rsidRPr="008F33E8">
              <w:rPr>
                <w:rFonts w:ascii="Arial" w:hAnsi="Arial" w:cs="Arial"/>
                <w:sz w:val="22"/>
                <w:szCs w:val="22"/>
                <w:lang w:val="fr-FR"/>
              </w:rPr>
              <w:t xml:space="preserve">12 </w:t>
            </w:r>
            <w:r w:rsidR="007631D7">
              <w:rPr>
                <w:rFonts w:ascii="Arial" w:hAnsi="Arial" w:cs="Arial"/>
                <w:sz w:val="22"/>
                <w:szCs w:val="22"/>
                <w:lang w:val="fr-FR"/>
              </w:rPr>
              <w:t xml:space="preserve">de </w:t>
            </w:r>
            <w:proofErr w:type="spellStart"/>
            <w:r w:rsidR="007631D7">
              <w:rPr>
                <w:rFonts w:ascii="Arial" w:hAnsi="Arial" w:cs="Arial"/>
                <w:sz w:val="22"/>
                <w:szCs w:val="22"/>
                <w:lang w:val="fr-FR"/>
              </w:rPr>
              <w:t>diciembre</w:t>
            </w:r>
            <w:proofErr w:type="spellEnd"/>
            <w:r w:rsidR="007631D7">
              <w:rPr>
                <w:rFonts w:ascii="Arial" w:hAnsi="Arial" w:cs="Arial"/>
                <w:sz w:val="22"/>
                <w:szCs w:val="22"/>
                <w:lang w:val="fr-FR"/>
              </w:rPr>
              <w:t xml:space="preserve"> de 2018</w:t>
            </w:r>
          </w:p>
        </w:tc>
      </w:tr>
    </w:tbl>
    <w:p w:rsidR="003F19C8" w:rsidRPr="00F73717" w:rsidRDefault="003F19C8" w:rsidP="00766125">
      <w:pPr>
        <w:jc w:val="both"/>
        <w:rPr>
          <w:rFonts w:ascii="Arial" w:hAnsi="Arial" w:cs="Arial"/>
          <w:sz w:val="22"/>
          <w:szCs w:val="22"/>
          <w:lang w:val="es-ES"/>
        </w:rPr>
      </w:pPr>
      <w:r w:rsidRPr="00F73717">
        <w:rPr>
          <w:rFonts w:ascii="Arial" w:hAnsi="Arial" w:cs="Arial"/>
          <w:sz w:val="22"/>
          <w:szCs w:val="22"/>
          <w:lang w:val="es-ES"/>
        </w:rPr>
        <w:t xml:space="preserve"> </w:t>
      </w:r>
    </w:p>
    <w:p w:rsidR="00B25614" w:rsidRDefault="00B25614" w:rsidP="00B25614">
      <w:pPr>
        <w:jc w:val="both"/>
        <w:rPr>
          <w:rFonts w:ascii="Arial" w:hAnsi="Arial" w:cs="Arial"/>
          <w:sz w:val="22"/>
          <w:szCs w:val="22"/>
          <w:lang w:val="es-ES"/>
        </w:rPr>
      </w:pPr>
    </w:p>
    <w:p w:rsidR="007631D7" w:rsidRPr="006E6D52" w:rsidRDefault="007631D7" w:rsidP="007631D7">
      <w:pPr>
        <w:jc w:val="center"/>
        <w:rPr>
          <w:rFonts w:ascii="Arial" w:hAnsi="Arial" w:cs="Arial"/>
          <w:sz w:val="22"/>
          <w:szCs w:val="22"/>
          <w:lang w:val="es-ES"/>
        </w:rPr>
      </w:pPr>
      <w:r w:rsidRPr="006E6D52">
        <w:rPr>
          <w:rFonts w:ascii="Arial" w:hAnsi="Arial" w:cs="Arial"/>
          <w:sz w:val="22"/>
          <w:szCs w:val="22"/>
          <w:lang w:val="es-ES"/>
        </w:rPr>
        <w:t>(del CMS/</w:t>
      </w:r>
      <w:proofErr w:type="spellStart"/>
      <w:r w:rsidRPr="006E6D52">
        <w:rPr>
          <w:rFonts w:ascii="Arial" w:hAnsi="Arial" w:cs="Arial"/>
          <w:sz w:val="22"/>
          <w:szCs w:val="22"/>
          <w:lang w:val="es-ES"/>
        </w:rPr>
        <w:t>Sharks</w:t>
      </w:r>
      <w:proofErr w:type="spellEnd"/>
      <w:r w:rsidRPr="006E6D52">
        <w:rPr>
          <w:rFonts w:ascii="Arial" w:hAnsi="Arial" w:cs="Arial"/>
          <w:sz w:val="22"/>
          <w:szCs w:val="22"/>
          <w:lang w:val="es-ES"/>
        </w:rPr>
        <w:t>/MOS3/</w:t>
      </w:r>
      <w:r w:rsidRPr="008F33E8">
        <w:rPr>
          <w:rFonts w:ascii="Arial" w:hAnsi="Arial" w:cs="Arial"/>
          <w:sz w:val="22"/>
          <w:szCs w:val="22"/>
          <w:lang w:val="es-ES"/>
        </w:rPr>
        <w:t>Doc.</w:t>
      </w:r>
      <w:r w:rsidR="008F33E8" w:rsidRPr="008F33E8">
        <w:rPr>
          <w:rFonts w:ascii="Arial" w:hAnsi="Arial" w:cs="Arial"/>
          <w:sz w:val="22"/>
          <w:szCs w:val="22"/>
          <w:lang w:val="es-ES"/>
        </w:rPr>
        <w:t>12.1</w:t>
      </w:r>
      <w:r w:rsidR="008F33E8">
        <w:rPr>
          <w:rFonts w:ascii="Arial" w:hAnsi="Arial" w:cs="Arial"/>
          <w:sz w:val="22"/>
          <w:szCs w:val="22"/>
          <w:lang w:val="es-ES"/>
        </w:rPr>
        <w:t>/Anexo 1</w:t>
      </w:r>
      <w:r w:rsidRPr="008F33E8">
        <w:rPr>
          <w:rFonts w:ascii="Arial" w:hAnsi="Arial" w:cs="Arial"/>
          <w:sz w:val="22"/>
          <w:szCs w:val="22"/>
          <w:lang w:val="es-ES"/>
        </w:rPr>
        <w:t>)</w:t>
      </w:r>
    </w:p>
    <w:p w:rsidR="00766125" w:rsidRPr="006E6D52" w:rsidRDefault="00766125" w:rsidP="00B25614">
      <w:pPr>
        <w:jc w:val="both"/>
        <w:rPr>
          <w:rFonts w:ascii="Arial" w:hAnsi="Arial" w:cs="Arial"/>
          <w:sz w:val="22"/>
          <w:szCs w:val="22"/>
          <w:lang w:val="es-ES"/>
        </w:rPr>
      </w:pPr>
    </w:p>
    <w:p w:rsidR="008F33E8" w:rsidRPr="008F33E8" w:rsidRDefault="008F33E8" w:rsidP="008F33E8">
      <w:pPr>
        <w:keepNext/>
        <w:keepLines/>
        <w:jc w:val="center"/>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ESTRATEGIA DE COMUNICACIÓN Y SENSIBILIZACIÓN </w:t>
      </w:r>
    </w:p>
    <w:p w:rsidR="008F33E8" w:rsidRPr="008F33E8" w:rsidRDefault="008F33E8" w:rsidP="008F33E8">
      <w:pPr>
        <w:keepNext/>
        <w:keepLines/>
        <w:jc w:val="center"/>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PARA EL MEMORANDO DE ENTENDIMIENTO SOBRE LA CONSERVACIÓN </w:t>
      </w:r>
    </w:p>
    <w:p w:rsidR="008F33E8" w:rsidRPr="008F33E8" w:rsidRDefault="008F33E8" w:rsidP="008F33E8">
      <w:pPr>
        <w:keepNext/>
        <w:keepLines/>
        <w:jc w:val="center"/>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DE LOS TIBURONES MIGRATORIOS (MDE SOBRE TIBURONES)</w:t>
      </w:r>
    </w:p>
    <w:p w:rsidR="008F33E8" w:rsidRPr="008F33E8" w:rsidRDefault="008F33E8" w:rsidP="001B1F5C">
      <w:pPr>
        <w:jc w:val="center"/>
        <w:rPr>
          <w:rFonts w:ascii="Arial" w:hAnsi="Arial" w:cs="Arial"/>
          <w:b/>
          <w:sz w:val="22"/>
          <w:szCs w:val="22"/>
          <w:lang w:val="es-ES_tradnl"/>
        </w:rPr>
      </w:pPr>
    </w:p>
    <w:p w:rsidR="008F33E8" w:rsidRPr="008F33E8" w:rsidRDefault="008F33E8" w:rsidP="001B1F5C">
      <w:pPr>
        <w:jc w:val="both"/>
        <w:rPr>
          <w:rFonts w:ascii="Arial" w:hAnsi="Arial" w:cs="Arial"/>
          <w:sz w:val="22"/>
          <w:szCs w:val="22"/>
          <w:lang w:val="es-ES_tradnl"/>
        </w:rPr>
      </w:pPr>
    </w:p>
    <w:p w:rsidR="008F33E8" w:rsidRPr="008F33E8" w:rsidRDefault="008F33E8" w:rsidP="008F33E8">
      <w:pPr>
        <w:pBdr>
          <w:top w:val="single" w:sz="4" w:space="9" w:color="auto"/>
          <w:left w:val="single" w:sz="4" w:space="4" w:color="auto"/>
          <w:bottom w:val="single" w:sz="4" w:space="1" w:color="auto"/>
          <w:right w:val="single" w:sz="4" w:space="4" w:color="auto"/>
        </w:pBdr>
        <w:spacing w:before="240" w:after="240"/>
        <w:ind w:left="180" w:right="180"/>
        <w:jc w:val="both"/>
        <w:rPr>
          <w:rFonts w:ascii="Arial" w:hAnsi="Arial" w:cs="Arial"/>
          <w:sz w:val="22"/>
          <w:szCs w:val="22"/>
          <w:lang w:val="es-ES_tradnl"/>
        </w:rPr>
      </w:pPr>
      <w:r w:rsidRPr="008F33E8">
        <w:rPr>
          <w:rFonts w:ascii="Arial" w:hAnsi="Arial" w:cs="Arial"/>
          <w:sz w:val="22"/>
          <w:szCs w:val="22"/>
          <w:lang w:val="es-ES_tradnl"/>
        </w:rPr>
        <w:t xml:space="preserve">La Estrategia de Comunicación y Sensibilización a continuación describe el planteamiento futuro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en cuanto a la comunicación estratégica basada en mensajes clave para presentar su labor y su nicho y cómo éstos encajan en el panorama más amplio de la conservación de la biodiversidad marina mundial, el desarrollo sosten</w:t>
      </w:r>
      <w:r w:rsidR="00724BC5">
        <w:rPr>
          <w:rFonts w:ascii="Arial" w:hAnsi="Arial" w:cs="Arial"/>
          <w:sz w:val="22"/>
          <w:szCs w:val="22"/>
          <w:lang w:val="es-ES_tradnl"/>
        </w:rPr>
        <w:t>ible y la seguridad alimentaria</w:t>
      </w:r>
      <w:r w:rsidRPr="008F33E8">
        <w:rPr>
          <w:rFonts w:ascii="Arial" w:hAnsi="Arial" w:cs="Arial"/>
          <w:sz w:val="22"/>
          <w:szCs w:val="22"/>
          <w:lang w:val="es-ES_tradnl"/>
        </w:rPr>
        <w:t>.</w:t>
      </w:r>
    </w:p>
    <w:p w:rsidR="008F33E8" w:rsidRPr="008F33E8" w:rsidRDefault="008F33E8" w:rsidP="008F33E8">
      <w:pPr>
        <w:pBdr>
          <w:top w:val="single" w:sz="4" w:space="9" w:color="auto"/>
          <w:left w:val="single" w:sz="4" w:space="4" w:color="auto"/>
          <w:bottom w:val="single" w:sz="4" w:space="1" w:color="auto"/>
          <w:right w:val="single" w:sz="4" w:space="4" w:color="auto"/>
        </w:pBdr>
        <w:spacing w:before="240" w:after="240"/>
        <w:ind w:left="180" w:right="180"/>
        <w:jc w:val="both"/>
        <w:rPr>
          <w:rFonts w:ascii="Arial" w:hAnsi="Arial" w:cs="Arial"/>
          <w:sz w:val="22"/>
          <w:szCs w:val="22"/>
          <w:lang w:val="es-ES_tradnl"/>
        </w:rPr>
      </w:pPr>
      <w:r w:rsidRPr="008F33E8">
        <w:rPr>
          <w:rFonts w:ascii="Arial" w:hAnsi="Arial" w:cs="Arial"/>
          <w:sz w:val="22"/>
          <w:szCs w:val="22"/>
          <w:lang w:val="es-ES_tradnl"/>
        </w:rPr>
        <w:t>También establece objetivos, métodos y principios que se ajustan a los de su convención madre, la Convención sobre la Conservación de las Especies Migratorias de Animales Silvestres (CMS).</w:t>
      </w:r>
    </w:p>
    <w:p w:rsidR="008F33E8" w:rsidRPr="008F33E8" w:rsidRDefault="008F33E8" w:rsidP="008F33E8">
      <w:pPr>
        <w:pBdr>
          <w:top w:val="single" w:sz="4" w:space="9" w:color="auto"/>
          <w:left w:val="single" w:sz="4" w:space="4" w:color="auto"/>
          <w:bottom w:val="single" w:sz="4" w:space="1" w:color="auto"/>
          <w:right w:val="single" w:sz="4" w:space="4" w:color="auto"/>
        </w:pBdr>
        <w:spacing w:before="240" w:after="240"/>
        <w:ind w:left="180" w:right="180"/>
        <w:jc w:val="both"/>
        <w:rPr>
          <w:rFonts w:ascii="Arial" w:hAnsi="Arial" w:cs="Arial"/>
          <w:sz w:val="22"/>
          <w:szCs w:val="22"/>
          <w:lang w:val="es-ES_tradnl"/>
        </w:rPr>
      </w:pPr>
      <w:r w:rsidRPr="008F33E8">
        <w:rPr>
          <w:rFonts w:ascii="Arial" w:hAnsi="Arial" w:cs="Arial"/>
          <w:sz w:val="22"/>
          <w:szCs w:val="22"/>
          <w:lang w:val="es-ES_tradnl"/>
        </w:rPr>
        <w:t xml:space="preserve">La estrategia de comunicación pretende ser un documento guía para todos los actores o partes interesadas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que incluyen a la Secretaría, los signatarios, los socios colaboradores y la CMS.</w:t>
      </w:r>
    </w:p>
    <w:p w:rsidR="008F33E8" w:rsidRDefault="008F33E8" w:rsidP="008F33E8">
      <w:pPr>
        <w:pBdr>
          <w:top w:val="single" w:sz="4" w:space="9" w:color="auto"/>
          <w:left w:val="single" w:sz="4" w:space="4" w:color="auto"/>
          <w:bottom w:val="single" w:sz="4" w:space="1" w:color="auto"/>
          <w:right w:val="single" w:sz="4" w:space="4" w:color="auto"/>
        </w:pBdr>
        <w:spacing w:before="240" w:after="240"/>
        <w:ind w:left="180" w:right="180"/>
        <w:jc w:val="both"/>
        <w:rPr>
          <w:rFonts w:ascii="Arial" w:hAnsi="Arial" w:cs="Arial"/>
          <w:sz w:val="22"/>
          <w:szCs w:val="22"/>
          <w:lang w:val="es-ES_tradnl"/>
        </w:rPr>
      </w:pPr>
      <w:r w:rsidRPr="008F33E8">
        <w:rPr>
          <w:rFonts w:ascii="Arial" w:hAnsi="Arial" w:cs="Arial"/>
          <w:sz w:val="22"/>
          <w:szCs w:val="22"/>
          <w:lang w:val="es-ES_tradnl"/>
        </w:rPr>
        <w:t xml:space="preserve">El objetivo general de la comunicación es apoyar la implementación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así como mejorar el reconocimiento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como único instrumento global para la conservación y gestión de los tiburones a nivel mundial.</w:t>
      </w:r>
    </w:p>
    <w:p w:rsidR="00510049" w:rsidRPr="008F33E8" w:rsidRDefault="00510049" w:rsidP="008F33E8">
      <w:pPr>
        <w:pBdr>
          <w:top w:val="single" w:sz="4" w:space="9" w:color="auto"/>
          <w:left w:val="single" w:sz="4" w:space="4" w:color="auto"/>
          <w:bottom w:val="single" w:sz="4" w:space="1" w:color="auto"/>
          <w:right w:val="single" w:sz="4" w:space="4" w:color="auto"/>
        </w:pBdr>
        <w:spacing w:before="240" w:after="240"/>
        <w:ind w:left="180" w:right="180"/>
        <w:jc w:val="both"/>
        <w:rPr>
          <w:rFonts w:ascii="Arial" w:hAnsi="Arial" w:cs="Arial"/>
          <w:sz w:val="22"/>
          <w:szCs w:val="22"/>
          <w:lang w:val="es-ES_tradnl"/>
        </w:rPr>
      </w:pPr>
      <w:bookmarkStart w:id="1" w:name="_GoBack"/>
      <w:bookmarkEnd w:id="1"/>
    </w:p>
    <w:p w:rsidR="00510049" w:rsidRDefault="00510049" w:rsidP="008F33E8">
      <w:pPr>
        <w:keepNext/>
        <w:keepLines/>
        <w:spacing w:before="240"/>
        <w:outlineLvl w:val="0"/>
        <w:rPr>
          <w:rFonts w:ascii="Arial" w:eastAsia="MS Gothic" w:hAnsi="Arial" w:cs="Arial"/>
          <w:b/>
          <w:sz w:val="22"/>
          <w:szCs w:val="22"/>
          <w:lang w:val="es-ES_tradnl"/>
        </w:rPr>
      </w:pPr>
    </w:p>
    <w:p w:rsidR="008F33E8" w:rsidRPr="008F33E8" w:rsidRDefault="008F33E8" w:rsidP="008F33E8">
      <w:pPr>
        <w:keepNext/>
        <w:keepLines/>
        <w:spacing w:before="24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Prólogo</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Muchas especies de </w:t>
      </w:r>
      <w:proofErr w:type="spellStart"/>
      <w:r w:rsidRPr="008F33E8">
        <w:rPr>
          <w:rFonts w:ascii="Arial" w:hAnsi="Arial" w:cs="Arial"/>
          <w:sz w:val="22"/>
          <w:szCs w:val="22"/>
          <w:lang w:val="es-ES_tradnl"/>
        </w:rPr>
        <w:t>condrictios</w:t>
      </w:r>
      <w:proofErr w:type="spellEnd"/>
      <w:r w:rsidRPr="008F33E8">
        <w:rPr>
          <w:rFonts w:ascii="Arial" w:hAnsi="Arial" w:cs="Arial"/>
          <w:sz w:val="22"/>
          <w:szCs w:val="22"/>
          <w:lang w:val="es-ES_tradnl"/>
        </w:rPr>
        <w:t xml:space="preserve"> han mostrado una disminución dramática en los últimos 60 años a pesar de su importancia ecológica, incluso para las personas que dependen de ecosistemas marinos sanos para su sustento. Una evaluación de la UICN realizada por </w:t>
      </w:r>
      <w:proofErr w:type="spellStart"/>
      <w:r w:rsidRPr="008F33E8">
        <w:rPr>
          <w:rFonts w:ascii="Arial" w:hAnsi="Arial" w:cs="Arial"/>
          <w:sz w:val="22"/>
          <w:szCs w:val="22"/>
          <w:lang w:val="es-ES_tradnl"/>
        </w:rPr>
        <w:t>Dulvy</w:t>
      </w:r>
      <w:proofErr w:type="spellEnd"/>
      <w:r w:rsidRPr="008F33E8">
        <w:rPr>
          <w:rFonts w:ascii="Arial" w:hAnsi="Arial" w:cs="Arial"/>
          <w:sz w:val="22"/>
          <w:szCs w:val="22"/>
          <w:lang w:val="es-ES_tradnl"/>
        </w:rPr>
        <w:t xml:space="preserve"> et al. en 2014 reveló que cerca del 30% de las especies de tiburones y rayas que fueron evaluadas (y que no resultaron en datos insuficientes) estaban amenazadas de extinción, siendo la situación de las rayas aún más grave que la de los tiburones</w:t>
      </w:r>
      <w:r w:rsidRPr="008F33E8">
        <w:rPr>
          <w:rFonts w:ascii="Arial" w:hAnsi="Arial" w:cs="Arial"/>
          <w:sz w:val="22"/>
          <w:szCs w:val="22"/>
          <w:vertAlign w:val="superscript"/>
          <w:lang w:val="es-ES_tradnl"/>
        </w:rPr>
        <w:footnoteReference w:id="1"/>
      </w:r>
      <w:r w:rsidRPr="008F33E8">
        <w:rPr>
          <w:rFonts w:ascii="Arial" w:hAnsi="Arial" w:cs="Arial"/>
          <w:sz w:val="22"/>
          <w:szCs w:val="22"/>
          <w:lang w:val="es-ES_tradnl"/>
        </w:rPr>
        <w:t xml:space="preserve">. </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autoSpaceDE/>
        <w:autoSpaceDN/>
        <w:adjustRightInd/>
        <w:spacing w:after="160" w:line="259" w:lineRule="auto"/>
        <w:jc w:val="both"/>
        <w:rPr>
          <w:rFonts w:ascii="Arial" w:hAnsi="Arial" w:cs="Arial"/>
          <w:sz w:val="22"/>
          <w:szCs w:val="22"/>
          <w:lang w:val="es-ES_tradnl"/>
        </w:rPr>
      </w:pPr>
      <w:r w:rsidRPr="008F33E8">
        <w:rPr>
          <w:rFonts w:ascii="Arial" w:hAnsi="Arial" w:cs="Arial"/>
          <w:sz w:val="22"/>
          <w:szCs w:val="22"/>
          <w:lang w:val="es-ES_tradnl"/>
        </w:rPr>
        <w:lastRenderedPageBreak/>
        <w:t xml:space="preserve">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contribuye significativamente a la implementación de la meta de Aichi 6, ODS12 y ODS14, así como al Plan Estratégico de la Convención sobre la Conservación de Especies Migratorias de Animales Silvestres (CMS)</w:t>
      </w:r>
      <w:r w:rsidRPr="008F33E8">
        <w:rPr>
          <w:rFonts w:ascii="Arial" w:hAnsi="Arial" w:cs="Arial"/>
          <w:sz w:val="22"/>
          <w:szCs w:val="22"/>
          <w:vertAlign w:val="superscript"/>
          <w:lang w:val="es-ES_tradnl"/>
        </w:rPr>
        <w:footnoteReference w:id="2"/>
      </w:r>
      <w:r w:rsidRPr="008F33E8">
        <w:rPr>
          <w:rFonts w:ascii="Arial" w:hAnsi="Arial" w:cs="Arial"/>
          <w:sz w:val="22"/>
          <w:szCs w:val="22"/>
          <w:lang w:val="es-ES_tradnl"/>
        </w:rPr>
        <w:t xml:space="preserve">.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ha identificado la clara necesidad de una investigación específica para informar a los administradores de las pesquerías y a los expertos en conservación sobre las prioridades de las acciones dirigidas a garantizar el uso sostenible y la conservación de los elasmobranquios en todo el mundo. Las especies marinas en general, pero en particular las especies altamente migratorias y con un</w:t>
      </w:r>
      <w:r w:rsidR="001B1F5C">
        <w:rPr>
          <w:rFonts w:ascii="Arial" w:hAnsi="Arial" w:cs="Arial"/>
          <w:sz w:val="22"/>
          <w:szCs w:val="22"/>
          <w:lang w:val="es-ES_tradnl"/>
        </w:rPr>
        <w:t>a</w:t>
      </w:r>
      <w:r w:rsidRPr="008F33E8">
        <w:rPr>
          <w:rFonts w:ascii="Arial" w:hAnsi="Arial" w:cs="Arial"/>
          <w:sz w:val="22"/>
          <w:szCs w:val="22"/>
          <w:lang w:val="es-ES_tradnl"/>
        </w:rPr>
        <w:t xml:space="preserve"> </w:t>
      </w:r>
      <w:r>
        <w:rPr>
          <w:rFonts w:ascii="Arial" w:hAnsi="Arial" w:cs="Arial"/>
          <w:sz w:val="22"/>
          <w:szCs w:val="22"/>
          <w:lang w:val="es-ES_tradnl"/>
        </w:rPr>
        <w:t>amplia</w:t>
      </w:r>
      <w:r w:rsidRPr="008F33E8">
        <w:rPr>
          <w:rFonts w:ascii="Arial" w:hAnsi="Arial" w:cs="Arial"/>
          <w:sz w:val="22"/>
          <w:szCs w:val="22"/>
          <w:lang w:val="es-ES_tradnl"/>
        </w:rPr>
        <w:t xml:space="preserve"> área de distribución, requieren una estrategia de conservación y gestión a nivel internacional y global. Como primer acuerdo de este tipo,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aúna a los estados del área de distribución a escala mundial para acordar las actividades antes mencionadas y para integrarlas en los procesos políticos y administrativos pertinentes dentro del sector pesquero.</w:t>
      </w: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¿Qué es el </w:t>
      </w:r>
      <w:proofErr w:type="spellStart"/>
      <w:r w:rsidRPr="008F33E8">
        <w:rPr>
          <w:rFonts w:ascii="Arial" w:eastAsia="MS Gothic" w:hAnsi="Arial" w:cs="Arial"/>
          <w:b/>
          <w:sz w:val="22"/>
          <w:szCs w:val="22"/>
          <w:lang w:val="es-ES_tradnl"/>
        </w:rPr>
        <w:t>MdE</w:t>
      </w:r>
      <w:proofErr w:type="spellEnd"/>
      <w:r w:rsidRPr="008F33E8">
        <w:rPr>
          <w:rFonts w:ascii="Arial" w:eastAsia="MS Gothic" w:hAnsi="Arial" w:cs="Arial"/>
          <w:b/>
          <w:sz w:val="22"/>
          <w:szCs w:val="22"/>
          <w:lang w:val="es-ES_tradnl"/>
        </w:rPr>
        <w:t xml:space="preserve"> sobre Tiburones de la CMS?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El Memorando de Entendimiento sobre la Conservación de los Tiburones Migratorios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comenzó en 2010 con el objetivo de lograr o mantener un estado de conservación favorable para los tiburones</w:t>
      </w:r>
      <w:r w:rsidRPr="008F33E8">
        <w:rPr>
          <w:rFonts w:ascii="Arial" w:hAnsi="Arial" w:cs="Arial"/>
          <w:sz w:val="22"/>
          <w:szCs w:val="22"/>
          <w:vertAlign w:val="superscript"/>
          <w:lang w:val="es-ES_tradnl"/>
        </w:rPr>
        <w:footnoteReference w:id="3"/>
      </w:r>
      <w:r w:rsidRPr="008F33E8">
        <w:rPr>
          <w:rFonts w:ascii="Arial" w:hAnsi="Arial" w:cs="Arial"/>
          <w:sz w:val="22"/>
          <w:szCs w:val="22"/>
          <w:lang w:val="es-ES_tradnl"/>
        </w:rPr>
        <w:t xml:space="preserve"> migratorios basado en la mejor información científica disponible, teniendo en cuenta los valores socioeconómicos y de otro tipo que estas especies representan para los habitantes de los países signatarios.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tiene como objetivo identificar formas de abordar las principales amenazas a las que se enfrentan los tiburones, principalmente la captura no sostenible y la captura incidental, además de la pérdida y degradación del hábitat.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representa un acuerdo intergubernamental especializado bajo los auspicios de la CMS conforme al Artículo IV (4) de la Convención.</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Es de alcance mundial, ya que los signatarios son estados del área de distribución</w:t>
      </w:r>
      <w:r w:rsidRPr="008F33E8">
        <w:rPr>
          <w:rFonts w:ascii="Arial" w:hAnsi="Arial" w:cs="Arial"/>
          <w:sz w:val="22"/>
          <w:szCs w:val="22"/>
          <w:vertAlign w:val="superscript"/>
          <w:lang w:val="es-ES_tradnl"/>
        </w:rPr>
        <w:footnoteReference w:id="4"/>
      </w:r>
      <w:r w:rsidRPr="008F33E8">
        <w:rPr>
          <w:rFonts w:ascii="Arial" w:hAnsi="Arial" w:cs="Arial"/>
          <w:sz w:val="22"/>
          <w:szCs w:val="22"/>
          <w:lang w:val="es-ES_tradnl"/>
        </w:rPr>
        <w:t xml:space="preserve"> u organizaciones regionales de integración económica</w:t>
      </w:r>
      <w:r w:rsidRPr="008F33E8">
        <w:rPr>
          <w:rFonts w:ascii="Arial" w:hAnsi="Arial" w:cs="Arial"/>
          <w:sz w:val="22"/>
          <w:szCs w:val="22"/>
          <w:vertAlign w:val="superscript"/>
          <w:lang w:val="es-ES_tradnl"/>
        </w:rPr>
        <w:footnoteReference w:id="5"/>
      </w:r>
      <w:r w:rsidRPr="008F33E8">
        <w:rPr>
          <w:rFonts w:ascii="Arial" w:hAnsi="Arial" w:cs="Arial"/>
          <w:sz w:val="22"/>
          <w:szCs w:val="22"/>
          <w:lang w:val="es-ES_tradnl"/>
        </w:rPr>
        <w:t xml:space="preserve">.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 un acuerdo joven que continúa creciendo. A finales de 2017 había 48 signatarios que cubrían todas las regiones del mundo.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 un instrumento jurídicamente no vinculante, pero que demuestra el compromiso político de los Signatarios con la conservación y la gestión sostenible de los tiburones.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Comunicación para apoyar el objetivo del </w:t>
      </w:r>
      <w:proofErr w:type="spellStart"/>
      <w:r w:rsidRPr="008F33E8">
        <w:rPr>
          <w:rFonts w:ascii="Arial" w:eastAsia="MS Gothic" w:hAnsi="Arial" w:cs="Arial"/>
          <w:b/>
          <w:sz w:val="22"/>
          <w:szCs w:val="22"/>
          <w:lang w:val="es-ES_tradnl"/>
        </w:rPr>
        <w:t>MdE</w:t>
      </w:r>
      <w:proofErr w:type="spellEnd"/>
      <w:r w:rsidRPr="008F33E8">
        <w:rPr>
          <w:rFonts w:ascii="Arial" w:eastAsia="MS Gothic" w:hAnsi="Arial" w:cs="Arial"/>
          <w:b/>
          <w:sz w:val="22"/>
          <w:szCs w:val="22"/>
          <w:lang w:val="es-ES_tradnl"/>
        </w:rPr>
        <w:t xml:space="preserve"> sobre Tiburones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Las actividades de comunicación son vitales para apoyar varios de los objetivos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por ejemplo</w:t>
      </w:r>
      <w:r>
        <w:rPr>
          <w:rFonts w:ascii="Arial" w:hAnsi="Arial" w:cs="Arial"/>
          <w:sz w:val="22"/>
          <w:szCs w:val="22"/>
          <w:lang w:val="es-ES_tradnl"/>
        </w:rPr>
        <w:t>,</w:t>
      </w:r>
      <w:r w:rsidRPr="008F33E8">
        <w:rPr>
          <w:rFonts w:ascii="Arial" w:hAnsi="Arial" w:cs="Arial"/>
          <w:sz w:val="22"/>
          <w:szCs w:val="22"/>
          <w:lang w:val="es-ES_tradnl"/>
        </w:rPr>
        <w:t xml:space="preserve"> a la hora de implementar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aumentar la conciencia </w:t>
      </w:r>
      <w:r w:rsidRPr="008F33E8">
        <w:rPr>
          <w:rFonts w:ascii="Arial" w:hAnsi="Arial" w:cs="Arial"/>
          <w:sz w:val="22"/>
          <w:szCs w:val="22"/>
          <w:lang w:val="es-ES_tradnl"/>
        </w:rPr>
        <w:lastRenderedPageBreak/>
        <w:t xml:space="preserve">pública sobre los problemas de conservación de los tiburones, y consolidar la reputación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entre los responsables de la toma de decisiones como la autoridad líder, neutral y creíble de la ONU para la conservación de los tiburones a nivel mundial. Las actividades de comunicación estratégica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se centrarán en crear una estrecha colaboración con los principales actores en los temas prioritarios con el fin de:</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8"/>
        </w:numPr>
        <w:autoSpaceDE/>
        <w:autoSpaceDN/>
        <w:adjustRightInd/>
        <w:spacing w:after="120"/>
        <w:jc w:val="both"/>
        <w:rPr>
          <w:rFonts w:ascii="Arial" w:hAnsi="Arial" w:cs="Arial"/>
          <w:sz w:val="22"/>
          <w:szCs w:val="22"/>
          <w:lang w:val="es-ES_tradnl"/>
        </w:rPr>
      </w:pPr>
      <w:r w:rsidRPr="008F33E8">
        <w:rPr>
          <w:rFonts w:ascii="Arial" w:hAnsi="Arial" w:cs="Arial"/>
          <w:b/>
          <w:sz w:val="22"/>
          <w:szCs w:val="22"/>
          <w:lang w:val="es-ES_tradnl"/>
        </w:rPr>
        <w:t xml:space="preserve">Destacar los logros y la eficacia del </w:t>
      </w:r>
      <w:proofErr w:type="spellStart"/>
      <w:r w:rsidRPr="008F33E8">
        <w:rPr>
          <w:rFonts w:ascii="Arial" w:hAnsi="Arial" w:cs="Arial"/>
          <w:b/>
          <w:sz w:val="22"/>
          <w:szCs w:val="22"/>
          <w:lang w:val="es-ES_tradnl"/>
        </w:rPr>
        <w:t>MdE</w:t>
      </w:r>
      <w:proofErr w:type="spellEnd"/>
      <w:r w:rsidRPr="008F33E8">
        <w:rPr>
          <w:rFonts w:ascii="Arial" w:hAnsi="Arial" w:cs="Arial"/>
          <w:b/>
          <w:sz w:val="22"/>
          <w:szCs w:val="22"/>
          <w:lang w:val="es-ES_tradnl"/>
        </w:rPr>
        <w:t xml:space="preserve"> sobre tiburones y su plan de conservación asociado</w:t>
      </w:r>
      <w:r w:rsidRPr="008F33E8">
        <w:rPr>
          <w:rFonts w:ascii="Arial" w:hAnsi="Arial" w:cs="Arial"/>
          <w:sz w:val="22"/>
          <w:szCs w:val="22"/>
          <w:lang w:val="es-ES_tradnl"/>
        </w:rPr>
        <w:t xml:space="preserve"> - comunicando de manera sistemática los objetivos y el nicho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y mostrando las actividades exitosas en curso para la implementación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w:t>
      </w:r>
    </w:p>
    <w:p w:rsidR="008F33E8" w:rsidRPr="008F33E8" w:rsidRDefault="008F33E8" w:rsidP="008F33E8">
      <w:pPr>
        <w:widowControl/>
        <w:numPr>
          <w:ilvl w:val="0"/>
          <w:numId w:val="8"/>
        </w:numPr>
        <w:autoSpaceDE/>
        <w:autoSpaceDN/>
        <w:adjustRightInd/>
        <w:spacing w:after="120"/>
        <w:jc w:val="both"/>
        <w:rPr>
          <w:rFonts w:ascii="Arial" w:hAnsi="Arial" w:cs="Arial"/>
          <w:sz w:val="22"/>
          <w:szCs w:val="22"/>
          <w:lang w:val="es-ES_tradnl"/>
        </w:rPr>
      </w:pPr>
      <w:r w:rsidRPr="008F33E8">
        <w:rPr>
          <w:rFonts w:ascii="Arial" w:hAnsi="Arial" w:cs="Arial"/>
          <w:b/>
          <w:sz w:val="22"/>
          <w:szCs w:val="22"/>
          <w:lang w:val="es-ES_tradnl"/>
        </w:rPr>
        <w:t xml:space="preserve">Demostrar la importancia del </w:t>
      </w:r>
      <w:proofErr w:type="spellStart"/>
      <w:r w:rsidRPr="008F33E8">
        <w:rPr>
          <w:rFonts w:ascii="Arial" w:hAnsi="Arial" w:cs="Arial"/>
          <w:b/>
          <w:sz w:val="22"/>
          <w:szCs w:val="22"/>
          <w:lang w:val="es-ES_tradnl"/>
        </w:rPr>
        <w:t>MdE</w:t>
      </w:r>
      <w:proofErr w:type="spellEnd"/>
      <w:r w:rsidRPr="008F33E8">
        <w:rPr>
          <w:rFonts w:ascii="Arial" w:hAnsi="Arial" w:cs="Arial"/>
          <w:b/>
          <w:sz w:val="22"/>
          <w:szCs w:val="22"/>
          <w:lang w:val="es-ES_tradnl"/>
        </w:rPr>
        <w:t xml:space="preserve"> sobre tiburones como instrumento para la conservación y ordenación de los tiburones a nivel mundial</w:t>
      </w:r>
      <w:r w:rsidRPr="008F33E8">
        <w:rPr>
          <w:rFonts w:ascii="Arial" w:hAnsi="Arial" w:cs="Arial"/>
          <w:sz w:val="22"/>
          <w:szCs w:val="22"/>
          <w:lang w:val="es-ES_tradnl"/>
        </w:rPr>
        <w:t xml:space="preserve"> - concienciando en base a los ejemplos exitosos de cooperación internacional y actividades de conservación que se están llevando a cabo en el marco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incluyendo capacitación, apoyo a la investigación, cooperación con las organizaciones pertinentes, desarrollo de directrices y recomendaciones científicas.</w:t>
      </w:r>
    </w:p>
    <w:p w:rsidR="008F33E8" w:rsidRPr="008F33E8" w:rsidRDefault="008F33E8" w:rsidP="008F33E8">
      <w:pPr>
        <w:widowControl/>
        <w:numPr>
          <w:ilvl w:val="0"/>
          <w:numId w:val="8"/>
        </w:numPr>
        <w:autoSpaceDE/>
        <w:autoSpaceDN/>
        <w:adjustRightInd/>
        <w:spacing w:after="120"/>
        <w:jc w:val="both"/>
        <w:rPr>
          <w:rFonts w:ascii="Arial" w:hAnsi="Arial" w:cs="Arial"/>
          <w:sz w:val="22"/>
          <w:szCs w:val="22"/>
          <w:lang w:val="es-ES_tradnl"/>
        </w:rPr>
      </w:pPr>
      <w:r w:rsidRPr="008F33E8">
        <w:rPr>
          <w:rFonts w:ascii="Arial" w:hAnsi="Arial" w:cs="Arial"/>
          <w:b/>
          <w:sz w:val="22"/>
          <w:szCs w:val="22"/>
          <w:lang w:val="es-ES_tradnl"/>
        </w:rPr>
        <w:t>Transmitir las razones por las que los tiburones son importantes</w:t>
      </w:r>
      <w:r w:rsidRPr="008F33E8">
        <w:rPr>
          <w:rFonts w:ascii="Arial" w:hAnsi="Arial" w:cs="Arial"/>
          <w:sz w:val="22"/>
          <w:szCs w:val="22"/>
          <w:lang w:val="es-ES_tradnl"/>
        </w:rPr>
        <w:t xml:space="preserve"> - incluyendo los diferentes valores que se atribuyen a los tiburones, su importancia para la biodiversidad, su función en los servicios de los ecosistemas y su relevancia para el desarrollo sostenible – con el fin de generar interés y atención en la conservación de los tiburones, y aumentar el nivel de prioridad que se otorga a la conservación y gestión de los tiburones en las agendas políticas (tanto a nivel nacional como internacional);</w:t>
      </w:r>
    </w:p>
    <w:p w:rsidR="008F33E8" w:rsidRPr="008F33E8" w:rsidRDefault="008F33E8" w:rsidP="008F33E8">
      <w:pPr>
        <w:widowControl/>
        <w:numPr>
          <w:ilvl w:val="0"/>
          <w:numId w:val="8"/>
        </w:numPr>
        <w:autoSpaceDE/>
        <w:autoSpaceDN/>
        <w:adjustRightInd/>
        <w:contextualSpacing/>
        <w:jc w:val="both"/>
        <w:rPr>
          <w:rFonts w:ascii="Arial" w:hAnsi="Arial" w:cs="Arial"/>
          <w:sz w:val="22"/>
          <w:szCs w:val="22"/>
          <w:lang w:val="es-ES_tradnl"/>
        </w:rPr>
      </w:pPr>
      <w:r w:rsidRPr="008F33E8">
        <w:rPr>
          <w:rFonts w:ascii="Arial" w:hAnsi="Arial" w:cs="Arial"/>
          <w:b/>
          <w:sz w:val="22"/>
          <w:szCs w:val="22"/>
          <w:lang w:val="es-ES_tradnl"/>
        </w:rPr>
        <w:t>Llamar la atención sobre las amenazas a los tiburones</w:t>
      </w:r>
      <w:r w:rsidRPr="008F33E8">
        <w:rPr>
          <w:rFonts w:ascii="Arial" w:hAnsi="Arial" w:cs="Arial"/>
          <w:sz w:val="22"/>
          <w:szCs w:val="22"/>
          <w:lang w:val="es-ES_tradnl"/>
        </w:rPr>
        <w:t xml:space="preserve"> - como la captura ilegal e insostenible y la captura incidental, la pérdida del hábitat o los desechos marinos, describiendo las medidas que se pueden tomar para hacer frente a las amenazas y garantizar que todos los usos sean sostenibles.</w:t>
      </w:r>
    </w:p>
    <w:p w:rsidR="008F33E8" w:rsidRPr="008F33E8" w:rsidRDefault="008F33E8" w:rsidP="008F33E8">
      <w:pPr>
        <w:jc w:val="both"/>
        <w:rPr>
          <w:rFonts w:ascii="Arial" w:hAnsi="Arial" w:cs="Arial"/>
          <w:sz w:val="22"/>
          <w:szCs w:val="22"/>
          <w:lang w:val="es-ES"/>
        </w:rPr>
      </w:pPr>
    </w:p>
    <w:p w:rsidR="008F33E8" w:rsidRPr="008F33E8" w:rsidRDefault="008F33E8" w:rsidP="00724BC5">
      <w:pPr>
        <w:spacing w:after="120"/>
        <w:jc w:val="both"/>
        <w:rPr>
          <w:rFonts w:ascii="Arial" w:hAnsi="Arial" w:cs="Arial"/>
          <w:sz w:val="22"/>
          <w:szCs w:val="22"/>
          <w:lang w:val="es-ES_tradnl"/>
        </w:rPr>
      </w:pPr>
      <w:r w:rsidRPr="008F33E8">
        <w:rPr>
          <w:rFonts w:ascii="Arial" w:hAnsi="Arial" w:cs="Arial"/>
          <w:sz w:val="22"/>
          <w:szCs w:val="22"/>
          <w:lang w:val="es-ES_tradnl"/>
        </w:rPr>
        <w:t>La estrategia de comunicación tiene como objetivo:</w:t>
      </w:r>
    </w:p>
    <w:p w:rsidR="008F33E8" w:rsidRPr="008F33E8" w:rsidRDefault="008F33E8" w:rsidP="008F33E8">
      <w:pPr>
        <w:widowControl/>
        <w:numPr>
          <w:ilvl w:val="0"/>
          <w:numId w:val="7"/>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Aumentar el número de signatarios y socios colaboradores y reforzar los compromisos asumidos por los Signatarios y los Socios Colaboradores existentes;</w:t>
      </w:r>
    </w:p>
    <w:p w:rsidR="008F33E8" w:rsidRPr="008F33E8" w:rsidRDefault="008F33E8" w:rsidP="008F33E8">
      <w:pPr>
        <w:widowControl/>
        <w:numPr>
          <w:ilvl w:val="0"/>
          <w:numId w:val="7"/>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Involucrar a las organizaciones asociadas y movilizar recursos para la conservación y gestión de los tiburones;</w:t>
      </w:r>
    </w:p>
    <w:p w:rsidR="008F33E8" w:rsidRPr="008F33E8" w:rsidRDefault="008F33E8" w:rsidP="008F33E8">
      <w:pPr>
        <w:widowControl/>
        <w:numPr>
          <w:ilvl w:val="0"/>
          <w:numId w:val="7"/>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Mejorar la cooperación con las organizaciones pesqueras pertinentes, los acuerdos ambientales multilaterales (AAM) y las Convenciones de Mares Regionales y Planes de Acción.</w:t>
      </w:r>
    </w:p>
    <w:p w:rsidR="008F33E8" w:rsidRPr="008F33E8" w:rsidRDefault="008F33E8" w:rsidP="008F33E8">
      <w:pPr>
        <w:ind w:left="720"/>
        <w:contextualSpacing/>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Los objetivos del </w:t>
      </w:r>
      <w:proofErr w:type="spellStart"/>
      <w:r w:rsidRPr="008F33E8">
        <w:rPr>
          <w:rFonts w:ascii="Arial" w:eastAsia="MS Gothic" w:hAnsi="Arial" w:cs="Arial"/>
          <w:b/>
          <w:sz w:val="22"/>
          <w:szCs w:val="22"/>
          <w:lang w:val="es-ES_tradnl"/>
        </w:rPr>
        <w:t>MdE</w:t>
      </w:r>
      <w:proofErr w:type="spellEnd"/>
      <w:r w:rsidRPr="008F33E8">
        <w:rPr>
          <w:rFonts w:ascii="Arial" w:eastAsia="MS Gothic" w:hAnsi="Arial" w:cs="Arial"/>
          <w:b/>
          <w:sz w:val="22"/>
          <w:szCs w:val="22"/>
          <w:lang w:val="es-ES_tradnl"/>
        </w:rPr>
        <w:t xml:space="preserve"> sobre Tiburones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El objetivo general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 “lograr y mantener un estado de conservación favorable para los tiburones migratorios basado en la mejor información científica disponible, teniendo en cuenta los valores socioeconómicos y de otro tipo de estas especies para los habitantes de los países signatarios”. (Texto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párrafo 5).</w:t>
      </w:r>
    </w:p>
    <w:p w:rsidR="008F33E8" w:rsidRPr="008F33E8" w:rsidRDefault="008F33E8" w:rsidP="008F33E8">
      <w:pPr>
        <w:jc w:val="both"/>
        <w:rPr>
          <w:rFonts w:ascii="Arial" w:hAnsi="Arial" w:cs="Arial"/>
          <w:sz w:val="22"/>
          <w:szCs w:val="22"/>
          <w:shd w:val="clear" w:color="auto" w:fill="FFFFFF"/>
          <w:lang w:val="es-ES_tradnl"/>
        </w:rPr>
      </w:pPr>
    </w:p>
    <w:p w:rsidR="008F33E8" w:rsidRPr="008F33E8" w:rsidRDefault="008F33E8" w:rsidP="008F33E8">
      <w:pPr>
        <w:spacing w:after="120"/>
        <w:jc w:val="both"/>
        <w:rPr>
          <w:rFonts w:ascii="Arial" w:hAnsi="Arial" w:cs="Arial"/>
          <w:sz w:val="22"/>
          <w:szCs w:val="22"/>
          <w:shd w:val="clear" w:color="auto" w:fill="FFFFFF"/>
          <w:lang w:val="es-ES_tradnl"/>
        </w:rPr>
      </w:pPr>
      <w:r w:rsidRPr="008F33E8">
        <w:rPr>
          <w:rFonts w:ascii="Arial" w:hAnsi="Arial" w:cs="Arial"/>
          <w:sz w:val="22"/>
          <w:szCs w:val="22"/>
          <w:shd w:val="clear" w:color="auto" w:fill="FFFFFF"/>
          <w:lang w:val="es-ES_tradnl"/>
        </w:rPr>
        <w:t>Otros cinco objetivos forman la base del Plan de Conservación:</w:t>
      </w:r>
    </w:p>
    <w:p w:rsidR="008F33E8" w:rsidRPr="008F33E8" w:rsidRDefault="008F33E8" w:rsidP="008F33E8">
      <w:pPr>
        <w:widowControl/>
        <w:numPr>
          <w:ilvl w:val="0"/>
          <w:numId w:val="9"/>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Mejorar el conocimiento sobre las poblaciones de tiburones migratorios a través de la investigación, el monitoreo y el intercambio de información;</w:t>
      </w:r>
    </w:p>
    <w:p w:rsidR="008F33E8" w:rsidRPr="008F33E8" w:rsidRDefault="008F33E8" w:rsidP="008F33E8">
      <w:pPr>
        <w:widowControl/>
        <w:numPr>
          <w:ilvl w:val="0"/>
          <w:numId w:val="9"/>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Garantizar que las pesquerías de tiburones tanto dirigidas como no dirigidas sean sostenibles;</w:t>
      </w:r>
    </w:p>
    <w:p w:rsidR="008F33E8" w:rsidRPr="008F33E8" w:rsidRDefault="008F33E8" w:rsidP="008F33E8">
      <w:pPr>
        <w:widowControl/>
        <w:numPr>
          <w:ilvl w:val="0"/>
          <w:numId w:val="9"/>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lastRenderedPageBreak/>
        <w:t>Garantizar, en la medida de lo posible, la protección de los hábitats y corredores migratorios críticos y las etapas de vida críticas de los tiburones;</w:t>
      </w:r>
    </w:p>
    <w:p w:rsidR="008F33E8" w:rsidRPr="008F33E8" w:rsidRDefault="008F33E8" w:rsidP="008F33E8">
      <w:pPr>
        <w:widowControl/>
        <w:numPr>
          <w:ilvl w:val="0"/>
          <w:numId w:val="9"/>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Aumentar la conciencia pública sobre las amenazas a los tiburones y sus hábitats, y aumentar la participación pública en las actividades de conservación; y</w:t>
      </w:r>
    </w:p>
    <w:p w:rsidR="008F33E8" w:rsidRDefault="008F33E8" w:rsidP="008F33E8">
      <w:pPr>
        <w:widowControl/>
        <w:numPr>
          <w:ilvl w:val="0"/>
          <w:numId w:val="9"/>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Mejorar la cooperación nacional, regional e internacional.</w:t>
      </w:r>
    </w:p>
    <w:p w:rsidR="008F33E8" w:rsidRPr="008F33E8" w:rsidRDefault="008F33E8" w:rsidP="008F33E8">
      <w:pPr>
        <w:widowControl/>
        <w:autoSpaceDE/>
        <w:autoSpaceDN/>
        <w:adjustRightInd/>
        <w:spacing w:before="120" w:after="120"/>
        <w:ind w:left="1080"/>
        <w:contextualSpacing/>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La conservación y gestión de los tiburones y sus hábitats tiene impacto en una serie de ámbitos de políticas internacionales, especialmente las relacionadas con la pesca, el desarrollo sostenible y la biodiversidad. Para que el desarrollo sea sostenible, debe tener en cuenta las necesidades de las personas, así como los entornos en los que viven, de los que los animales silvestres, incluidos los tiburones, son parte integrante. Junto con la Familia CMS y otros AAM relacionados con la biodiversidad,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contribuye a los ODS ayudando a equilibrar la conservación y el uso sostenible de los tiburones, así como la protección de sus hábitats críticos, reconociendo los diferentes valores que se atribuyen a los tiburones y los medios de subsistencia que sostienen.</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 xml:space="preserve">Definición del nicho del </w:t>
      </w:r>
      <w:proofErr w:type="spellStart"/>
      <w:r w:rsidRPr="008F33E8">
        <w:rPr>
          <w:rFonts w:ascii="Arial" w:eastAsia="MS Gothic" w:hAnsi="Arial" w:cs="Arial"/>
          <w:b/>
          <w:sz w:val="22"/>
          <w:szCs w:val="22"/>
          <w:lang w:val="es-ES_tradnl"/>
        </w:rPr>
        <w:t>MdE</w:t>
      </w:r>
      <w:proofErr w:type="spellEnd"/>
      <w:r w:rsidRPr="008F33E8">
        <w:rPr>
          <w:rFonts w:ascii="Arial" w:eastAsia="MS Gothic" w:hAnsi="Arial" w:cs="Arial"/>
          <w:b/>
          <w:sz w:val="22"/>
          <w:szCs w:val="22"/>
          <w:lang w:val="es-ES_tradnl"/>
        </w:rPr>
        <w:t xml:space="preserve"> sobre tiburones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8"/>
        </w:numPr>
        <w:autoSpaceDE/>
        <w:autoSpaceDN/>
        <w:adjustRightInd/>
        <w:spacing w:after="120"/>
        <w:jc w:val="both"/>
        <w:rPr>
          <w:rFonts w:ascii="Arial" w:hAnsi="Arial" w:cs="Arial"/>
          <w:b/>
          <w:sz w:val="22"/>
          <w:szCs w:val="22"/>
          <w:lang w:val="es-ES_tradnl"/>
        </w:rPr>
      </w:pPr>
      <w:r w:rsidRPr="008F33E8">
        <w:rPr>
          <w:rFonts w:ascii="Arial" w:hAnsi="Arial" w:cs="Arial"/>
          <w:b/>
          <w:sz w:val="22"/>
          <w:szCs w:val="22"/>
          <w:lang w:val="es-ES_tradnl"/>
        </w:rPr>
        <w:t>Actúa como puente entre la conservación y el uso sostenible:</w:t>
      </w:r>
    </w:p>
    <w:p w:rsidR="008F33E8" w:rsidRPr="008F33E8" w:rsidRDefault="008F33E8" w:rsidP="008F33E8">
      <w:pPr>
        <w:spacing w:after="120"/>
        <w:ind w:left="720"/>
        <w:contextualSpacing/>
        <w:jc w:val="both"/>
        <w:rPr>
          <w:rFonts w:ascii="Arial" w:hAnsi="Arial" w:cs="Arial"/>
          <w:sz w:val="22"/>
          <w:szCs w:val="22"/>
          <w:lang w:val="es-ES_tradnl"/>
        </w:rPr>
      </w:pPr>
      <w:r w:rsidRPr="008F33E8">
        <w:rPr>
          <w:rFonts w:ascii="Arial" w:hAnsi="Arial" w:cs="Arial"/>
          <w:sz w:val="22"/>
          <w:szCs w:val="22"/>
          <w:lang w:val="es-ES_tradnl"/>
        </w:rPr>
        <w:t xml:space="preserve">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se centra en gran medida en la protección y el uso sostenible de los tiburones. Su objetivo general, mantener y mejorar el estado de conservación de los tiburones, también reconoce las necesidades económicas de los estados del área de distribución. Para contribuir a la gestión sostenible de las pesquerías de tiburones,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tiene el mandato de cooperar con las organizaciones pesqueras pertinentes. En este contexto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tiene la función de promover sus decisiones, tomadas desde una perspectiva de ecosistemas para la conservación y ordenación de los tiburones, en los foros de pesca. </w:t>
      </w:r>
    </w:p>
    <w:p w:rsidR="008F33E8" w:rsidRPr="008F33E8" w:rsidRDefault="008F33E8" w:rsidP="008F33E8">
      <w:pPr>
        <w:spacing w:after="120"/>
        <w:ind w:left="720"/>
        <w:contextualSpacing/>
        <w:jc w:val="both"/>
        <w:rPr>
          <w:rFonts w:ascii="Arial" w:hAnsi="Arial" w:cs="Arial"/>
          <w:sz w:val="22"/>
          <w:szCs w:val="22"/>
          <w:lang w:val="es-ES_tradnl"/>
        </w:rPr>
      </w:pPr>
      <w:r w:rsidRPr="008F33E8">
        <w:rPr>
          <w:rFonts w:ascii="Arial" w:hAnsi="Arial" w:cs="Arial"/>
          <w:sz w:val="22"/>
          <w:szCs w:val="22"/>
          <w:lang w:val="es-ES_tradnl"/>
        </w:rPr>
        <w:t xml:space="preserve"> </w:t>
      </w:r>
    </w:p>
    <w:p w:rsidR="008F33E8" w:rsidRPr="008F33E8" w:rsidRDefault="008F33E8" w:rsidP="008F33E8">
      <w:pPr>
        <w:widowControl/>
        <w:numPr>
          <w:ilvl w:val="0"/>
          <w:numId w:val="8"/>
        </w:numPr>
        <w:autoSpaceDE/>
        <w:autoSpaceDN/>
        <w:adjustRightInd/>
        <w:spacing w:after="120"/>
        <w:jc w:val="both"/>
        <w:rPr>
          <w:rFonts w:ascii="Arial" w:hAnsi="Arial" w:cs="Arial"/>
          <w:b/>
          <w:sz w:val="22"/>
          <w:szCs w:val="22"/>
          <w:lang w:val="es-ES_tradnl"/>
        </w:rPr>
      </w:pPr>
      <w:r w:rsidRPr="008F33E8">
        <w:rPr>
          <w:rFonts w:ascii="Arial" w:hAnsi="Arial" w:cs="Arial"/>
          <w:b/>
          <w:sz w:val="22"/>
          <w:szCs w:val="22"/>
          <w:lang w:val="es-ES_tradnl"/>
        </w:rPr>
        <w:t xml:space="preserve">Es una plataforma mundial única para las especies de </w:t>
      </w:r>
      <w:proofErr w:type="spellStart"/>
      <w:r w:rsidRPr="008F33E8">
        <w:rPr>
          <w:rFonts w:ascii="Arial" w:hAnsi="Arial" w:cs="Arial"/>
          <w:b/>
          <w:sz w:val="22"/>
          <w:szCs w:val="22"/>
          <w:lang w:val="es-ES_tradnl"/>
        </w:rPr>
        <w:t>condrictios</w:t>
      </w:r>
      <w:proofErr w:type="spellEnd"/>
      <w:r w:rsidRPr="008F33E8">
        <w:rPr>
          <w:rFonts w:ascii="Arial" w:hAnsi="Arial" w:cs="Arial"/>
          <w:b/>
          <w:sz w:val="22"/>
          <w:szCs w:val="22"/>
          <w:lang w:val="es-ES_tradnl"/>
        </w:rPr>
        <w:t>:</w:t>
      </w:r>
    </w:p>
    <w:p w:rsidR="008F33E8" w:rsidRPr="008F33E8" w:rsidRDefault="008F33E8" w:rsidP="008F33E8">
      <w:pPr>
        <w:spacing w:after="120"/>
        <w:ind w:left="720"/>
        <w:contextualSpacing/>
        <w:jc w:val="both"/>
        <w:rPr>
          <w:rFonts w:ascii="Arial" w:hAnsi="Arial" w:cs="Arial"/>
          <w:sz w:val="22"/>
          <w:szCs w:val="22"/>
          <w:lang w:val="es-ES_tradnl"/>
        </w:rPr>
      </w:pPr>
      <w:r w:rsidRPr="008F33E8">
        <w:rPr>
          <w:rFonts w:ascii="Arial" w:hAnsi="Arial" w:cs="Arial"/>
          <w:sz w:val="22"/>
          <w:szCs w:val="22"/>
          <w:lang w:val="es-ES_tradnl"/>
        </w:rPr>
        <w:t xml:space="preserve">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 el único instrumento intergubernamental dedicado exclusivamente a la conservación internacional de las especies de </w:t>
      </w:r>
      <w:proofErr w:type="spellStart"/>
      <w:r w:rsidRPr="008F33E8">
        <w:rPr>
          <w:rFonts w:ascii="Arial" w:hAnsi="Arial" w:cs="Arial"/>
          <w:sz w:val="22"/>
          <w:szCs w:val="22"/>
          <w:lang w:val="es-ES_tradnl"/>
        </w:rPr>
        <w:t>condrictios</w:t>
      </w:r>
      <w:proofErr w:type="spellEnd"/>
      <w:r w:rsidRPr="008F33E8">
        <w:rPr>
          <w:rFonts w:ascii="Arial" w:hAnsi="Arial" w:cs="Arial"/>
          <w:sz w:val="22"/>
          <w:szCs w:val="22"/>
          <w:lang w:val="es-ES_tradnl"/>
        </w:rPr>
        <w:t xml:space="preserve"> incluidas en el Anexo I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así como sus hábitats naturales. El acuerdo ayuda a elevar la importancia política de los tiburones y la conservación de sus hábitats tanto a nivel nacional como internacional en todo el planeta. Complementa y apoya otros acuerdos y convenciones mundiales, especialmente aquellos que se ocupan de cuestiones relacionadas con la pesca, la biodiversidad y la conservación de los hábitats, como por ejemplo la CMS, CITES, CDB, CMR y PA, FAO y ORP. Además, mejora el intercambio de información y formula recomendaciones a los estados del área de distribución y otros foros pertinentes sobre conservación y ordenación pesquera en beneficio de los tiburones desde una perspectiva centrada en el ecosistema.</w:t>
      </w:r>
    </w:p>
    <w:p w:rsidR="008F33E8" w:rsidRPr="008F33E8" w:rsidRDefault="008F33E8" w:rsidP="008F33E8">
      <w:pPr>
        <w:spacing w:after="120"/>
        <w:ind w:left="720"/>
        <w:contextualSpacing/>
        <w:jc w:val="both"/>
        <w:rPr>
          <w:rFonts w:ascii="Arial" w:hAnsi="Arial" w:cs="Arial"/>
          <w:sz w:val="22"/>
          <w:szCs w:val="22"/>
          <w:lang w:val="es-ES_tradnl"/>
        </w:rPr>
      </w:pPr>
    </w:p>
    <w:p w:rsidR="008F33E8" w:rsidRPr="008F33E8" w:rsidRDefault="008F33E8" w:rsidP="008F33E8">
      <w:pPr>
        <w:widowControl/>
        <w:numPr>
          <w:ilvl w:val="0"/>
          <w:numId w:val="8"/>
        </w:numPr>
        <w:autoSpaceDE/>
        <w:autoSpaceDN/>
        <w:adjustRightInd/>
        <w:spacing w:before="120" w:after="120"/>
        <w:contextualSpacing/>
        <w:jc w:val="both"/>
        <w:rPr>
          <w:rFonts w:ascii="Arial" w:hAnsi="Arial" w:cs="Arial"/>
          <w:b/>
          <w:sz w:val="22"/>
          <w:szCs w:val="22"/>
          <w:lang w:val="es-ES_tradnl"/>
        </w:rPr>
      </w:pPr>
      <w:r w:rsidRPr="008F33E8">
        <w:rPr>
          <w:rFonts w:ascii="Arial" w:hAnsi="Arial" w:cs="Arial"/>
          <w:b/>
          <w:sz w:val="22"/>
          <w:szCs w:val="22"/>
          <w:lang w:val="es-ES_tradnl"/>
        </w:rPr>
        <w:t>Apoya a los Signatarios y a los estados del área de distribución con la implementación:</w:t>
      </w:r>
    </w:p>
    <w:p w:rsidR="008F33E8" w:rsidRPr="008F33E8" w:rsidRDefault="008F33E8" w:rsidP="008F33E8">
      <w:pPr>
        <w:ind w:left="720"/>
        <w:jc w:val="both"/>
        <w:rPr>
          <w:rFonts w:ascii="Arial" w:hAnsi="Arial" w:cs="Arial"/>
          <w:sz w:val="22"/>
          <w:szCs w:val="22"/>
          <w:lang w:val="es-ES_tradnl"/>
        </w:rPr>
      </w:pPr>
      <w:r w:rsidRPr="008F33E8">
        <w:rPr>
          <w:rFonts w:ascii="Arial" w:hAnsi="Arial" w:cs="Arial"/>
          <w:sz w:val="22"/>
          <w:szCs w:val="22"/>
          <w:lang w:val="es-ES_tradnl"/>
        </w:rPr>
        <w:t xml:space="preserve">La implementación es fundamental para el éxito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Por esta razón,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ofrece una red de expertos y otros asociados que apoyan a los estados del área de distribución en la implementación de sus compromisos bajo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Mediante la cooperación internacional y regional facilita el intercambio de conocimientos, metodologías, políticas y conceptos.</w:t>
      </w:r>
    </w:p>
    <w:p w:rsidR="008F33E8" w:rsidRPr="008F33E8" w:rsidRDefault="008F33E8" w:rsidP="008F33E8">
      <w:pPr>
        <w:ind w:left="720"/>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lastRenderedPageBreak/>
        <w:t>Actores clave</w:t>
      </w:r>
    </w:p>
    <w:p w:rsidR="008F33E8" w:rsidRPr="008F33E8" w:rsidRDefault="008F33E8" w:rsidP="008F33E8">
      <w:pPr>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Como instrumento intergubernamental establecido para fomentar la cooperación internacional entre los países y otras partes interesadas,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aúna a una comunidad de actores interesados que se dedican a la conservación y gestión de los tiburones a nivel mundial. Estos actores a menudo participan como socios estratégicos en las actividades de comunicación, pero también pueden ser los destinatarios de las actividades de comunicación.</w:t>
      </w:r>
    </w:p>
    <w:p w:rsidR="00FC614C" w:rsidRDefault="00FC614C" w:rsidP="00FC614C">
      <w:pPr>
        <w:widowControl/>
        <w:autoSpaceDE/>
        <w:autoSpaceDN/>
        <w:adjustRightInd/>
        <w:rPr>
          <w:rFonts w:ascii="Arial" w:hAnsi="Arial" w:cs="Arial"/>
          <w:sz w:val="22"/>
          <w:szCs w:val="22"/>
          <w:u w:val="single"/>
          <w:lang w:val="es-ES_tradnl"/>
        </w:rPr>
      </w:pPr>
    </w:p>
    <w:p w:rsidR="008F33E8" w:rsidRPr="008F33E8" w:rsidRDefault="008F33E8" w:rsidP="008F33E8">
      <w:pPr>
        <w:widowControl/>
        <w:autoSpaceDE/>
        <w:autoSpaceDN/>
        <w:adjustRightInd/>
        <w:spacing w:after="160" w:line="259" w:lineRule="auto"/>
        <w:rPr>
          <w:rFonts w:ascii="Arial" w:hAnsi="Arial" w:cs="Arial"/>
          <w:bCs/>
          <w:sz w:val="22"/>
          <w:szCs w:val="22"/>
          <w:u w:val="single"/>
          <w:lang w:val="es-ES_tradnl"/>
        </w:rPr>
      </w:pPr>
      <w:r w:rsidRPr="008F33E8">
        <w:rPr>
          <w:rFonts w:ascii="Arial" w:hAnsi="Arial" w:cs="Arial"/>
          <w:sz w:val="22"/>
          <w:szCs w:val="22"/>
          <w:u w:val="single"/>
          <w:lang w:val="es-ES_tradnl"/>
        </w:rPr>
        <w:t>Comunicadores principales: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Los principales actores en las actividades de comunicación son:</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4"/>
        </w:numPr>
        <w:autoSpaceDE/>
        <w:autoSpaceDN/>
        <w:adjustRightInd/>
        <w:spacing w:line="360" w:lineRule="auto"/>
        <w:contextualSpacing/>
        <w:jc w:val="both"/>
        <w:rPr>
          <w:rFonts w:ascii="Arial" w:hAnsi="Arial" w:cs="Arial"/>
          <w:sz w:val="22"/>
          <w:szCs w:val="22"/>
          <w:lang w:val="es-ES_tradnl"/>
        </w:rPr>
      </w:pPr>
      <w:r w:rsidRPr="008F33E8">
        <w:rPr>
          <w:rFonts w:ascii="Arial" w:hAnsi="Arial" w:cs="Arial"/>
          <w:sz w:val="22"/>
          <w:szCs w:val="22"/>
          <w:lang w:val="es-ES_tradnl"/>
        </w:rPr>
        <w:t>Signatarios</w:t>
      </w:r>
    </w:p>
    <w:p w:rsidR="008F33E8" w:rsidRPr="008F33E8" w:rsidRDefault="008F33E8" w:rsidP="008F33E8">
      <w:pPr>
        <w:spacing w:after="120"/>
        <w:ind w:left="720"/>
        <w:jc w:val="both"/>
        <w:rPr>
          <w:rFonts w:ascii="Arial" w:hAnsi="Arial" w:cs="Arial"/>
          <w:sz w:val="22"/>
          <w:szCs w:val="22"/>
          <w:lang w:val="es-ES_tradnl"/>
        </w:rPr>
      </w:pPr>
      <w:r w:rsidRPr="008F33E8">
        <w:rPr>
          <w:rFonts w:ascii="Arial" w:hAnsi="Arial" w:cs="Arial"/>
          <w:sz w:val="22"/>
          <w:szCs w:val="22"/>
          <w:lang w:val="es-ES_tradnl"/>
        </w:rPr>
        <w:t xml:space="preserve">Los Signatarios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están representados por Puntos Focales (PF) designados dentro de los ministerios responsables u otras instituciones competentes en sus países. Los Puntos Focales son, de acuerdo con el párrafo 15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la persona central dentro del gobierno con quien se lleva a cabo la comunicación. Un Punto Focal se comunicaría normalmente con otros Puntos Focales, con representantes de otros estados del área de distribución y con la Secretaría.</w:t>
      </w:r>
    </w:p>
    <w:p w:rsidR="008F33E8" w:rsidRPr="008F33E8" w:rsidRDefault="008F33E8" w:rsidP="008F33E8">
      <w:pPr>
        <w:widowControl/>
        <w:numPr>
          <w:ilvl w:val="0"/>
          <w:numId w:val="4"/>
        </w:numPr>
        <w:autoSpaceDE/>
        <w:autoSpaceDN/>
        <w:adjustRightInd/>
        <w:spacing w:before="120" w:after="120" w:line="360" w:lineRule="auto"/>
        <w:contextualSpacing/>
        <w:jc w:val="both"/>
        <w:rPr>
          <w:rFonts w:ascii="Arial" w:hAnsi="Arial" w:cs="Arial"/>
          <w:sz w:val="22"/>
          <w:szCs w:val="22"/>
          <w:lang w:val="es-ES_tradnl"/>
        </w:rPr>
      </w:pPr>
      <w:r w:rsidRPr="008F33E8">
        <w:rPr>
          <w:rFonts w:ascii="Arial" w:hAnsi="Arial" w:cs="Arial"/>
          <w:sz w:val="22"/>
          <w:szCs w:val="22"/>
          <w:lang w:val="es-ES_tradnl"/>
        </w:rPr>
        <w:t>Secretaría</w:t>
      </w:r>
    </w:p>
    <w:p w:rsidR="008F33E8" w:rsidRPr="008F33E8" w:rsidRDefault="008F33E8" w:rsidP="008F33E8">
      <w:pPr>
        <w:spacing w:after="120"/>
        <w:ind w:left="720"/>
        <w:jc w:val="both"/>
        <w:rPr>
          <w:rFonts w:ascii="Arial" w:hAnsi="Arial" w:cs="Arial"/>
          <w:sz w:val="22"/>
          <w:szCs w:val="22"/>
          <w:lang w:val="es-ES_tradnl"/>
        </w:rPr>
      </w:pPr>
      <w:r w:rsidRPr="008F33E8">
        <w:rPr>
          <w:rFonts w:ascii="Arial" w:hAnsi="Arial" w:cs="Arial"/>
          <w:sz w:val="22"/>
          <w:szCs w:val="22"/>
          <w:lang w:val="es-ES_tradnl"/>
        </w:rPr>
        <w:t>La Secretaría, como comunicador clave, tiene la función esencial de facilitar el acercamiento de los diferentes actores clave y proporcionar las herramientas y orientación internacional necesarias para apoyar las actividades generales de comunicación. Además, la Secretaría se encarga de concienciar sobre las amenazas a los tiburones y sus necesidades de conservación en general. La Secretaría es también un comunicador clave en el contexto de la colaboración con otras organizaciones y socios pertinentes, así como con la comunidad científica.</w:t>
      </w:r>
    </w:p>
    <w:p w:rsidR="008F33E8" w:rsidRPr="008F33E8" w:rsidRDefault="008F33E8" w:rsidP="008F33E8">
      <w:pPr>
        <w:widowControl/>
        <w:numPr>
          <w:ilvl w:val="0"/>
          <w:numId w:val="4"/>
        </w:numPr>
        <w:autoSpaceDE/>
        <w:autoSpaceDN/>
        <w:adjustRightInd/>
        <w:spacing w:before="120" w:after="120" w:line="360" w:lineRule="auto"/>
        <w:contextualSpacing/>
        <w:jc w:val="both"/>
        <w:rPr>
          <w:rFonts w:ascii="Arial" w:hAnsi="Arial" w:cs="Arial"/>
          <w:sz w:val="22"/>
          <w:szCs w:val="22"/>
          <w:lang w:val="es-ES_tradnl"/>
        </w:rPr>
      </w:pPr>
      <w:r w:rsidRPr="008F33E8">
        <w:rPr>
          <w:rFonts w:ascii="Arial" w:hAnsi="Arial" w:cs="Arial"/>
          <w:sz w:val="22"/>
          <w:szCs w:val="22"/>
          <w:lang w:val="es-ES_tradnl"/>
        </w:rPr>
        <w:t>Socios colaboradores</w:t>
      </w:r>
    </w:p>
    <w:p w:rsidR="008F33E8" w:rsidRPr="008F33E8" w:rsidRDefault="008F33E8" w:rsidP="008F33E8">
      <w:pPr>
        <w:spacing w:after="120"/>
        <w:ind w:left="720"/>
        <w:jc w:val="both"/>
        <w:rPr>
          <w:rFonts w:ascii="Arial" w:hAnsi="Arial" w:cs="Arial"/>
          <w:sz w:val="22"/>
          <w:szCs w:val="22"/>
          <w:lang w:val="es-ES_tradnl"/>
        </w:rPr>
      </w:pPr>
      <w:r w:rsidRPr="008F33E8">
        <w:rPr>
          <w:rFonts w:ascii="Arial" w:hAnsi="Arial" w:cs="Arial"/>
          <w:sz w:val="22"/>
          <w:szCs w:val="22"/>
          <w:lang w:val="es-ES_tradnl"/>
        </w:rPr>
        <w:t xml:space="preserve">Los socios colaboradores también cumplen una función esencial en la comunicación más amplia de los objetivos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las amenazas a los tiburones, las necesidades de conservación, el conocimiento sobre los tiburones y las necesidades de investigación.</w:t>
      </w:r>
    </w:p>
    <w:p w:rsidR="008F33E8" w:rsidRPr="008F33E8" w:rsidRDefault="008F33E8" w:rsidP="008F33E8">
      <w:pPr>
        <w:widowControl/>
        <w:numPr>
          <w:ilvl w:val="0"/>
          <w:numId w:val="4"/>
        </w:numPr>
        <w:autoSpaceDE/>
        <w:autoSpaceDN/>
        <w:adjustRightInd/>
        <w:spacing w:before="120" w:after="120" w:line="360" w:lineRule="auto"/>
        <w:contextualSpacing/>
        <w:jc w:val="both"/>
        <w:rPr>
          <w:rFonts w:ascii="Arial" w:hAnsi="Arial" w:cs="Arial"/>
          <w:sz w:val="22"/>
          <w:szCs w:val="22"/>
          <w:lang w:val="es-ES_tradnl"/>
        </w:rPr>
      </w:pPr>
      <w:r w:rsidRPr="008F33E8">
        <w:rPr>
          <w:rFonts w:ascii="Arial" w:hAnsi="Arial" w:cs="Arial"/>
          <w:sz w:val="22"/>
          <w:szCs w:val="22"/>
          <w:lang w:val="es-ES_tradnl"/>
        </w:rPr>
        <w:t>CMS</w:t>
      </w:r>
    </w:p>
    <w:p w:rsidR="008F33E8" w:rsidRPr="008F33E8" w:rsidRDefault="008F33E8" w:rsidP="008F33E8">
      <w:pPr>
        <w:ind w:left="720"/>
        <w:contextualSpacing/>
        <w:jc w:val="both"/>
        <w:rPr>
          <w:rFonts w:ascii="Arial" w:hAnsi="Arial" w:cs="Arial"/>
          <w:sz w:val="22"/>
          <w:szCs w:val="22"/>
          <w:lang w:val="es-ES_tradnl"/>
        </w:rPr>
      </w:pPr>
      <w:r w:rsidRPr="008F33E8">
        <w:rPr>
          <w:rFonts w:ascii="Arial" w:hAnsi="Arial" w:cs="Arial"/>
          <w:sz w:val="22"/>
          <w:szCs w:val="22"/>
          <w:lang w:val="es-ES_tradnl"/>
        </w:rPr>
        <w:t xml:space="preserve">Como marco y convención madre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la CMS tiene el papel de apoyar y promover las actividades y objetivos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Es importante señalar que todos los actores clave mencionados anteriormente podrían actuar como ejecutores de las actividades de comunicación y asumir el papel de socios estratégicos, defensores o incluso intermediarios, aunque, dependiendo del contexto, también pueden convertirse en destinatarios de las actividades de comunicación.</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keepNext/>
        <w:pBdr>
          <w:top w:val="single" w:sz="6" w:space="0" w:color="FFFFFF"/>
          <w:left w:val="single" w:sz="6" w:space="0" w:color="FFFFFF"/>
          <w:bottom w:val="single" w:sz="6" w:space="0" w:color="FFFFFF"/>
          <w:right w:val="single" w:sz="6" w:space="0" w:color="FFFFFF"/>
        </w:pBdr>
        <w:spacing w:after="120"/>
        <w:outlineLvl w:val="1"/>
        <w:rPr>
          <w:rFonts w:ascii="Arial" w:hAnsi="Arial" w:cs="Arial"/>
          <w:bCs/>
          <w:sz w:val="22"/>
          <w:szCs w:val="22"/>
          <w:u w:val="single"/>
          <w:lang w:val="es-ES_tradnl"/>
        </w:rPr>
      </w:pPr>
      <w:r w:rsidRPr="008F33E8">
        <w:rPr>
          <w:rFonts w:ascii="Arial" w:hAnsi="Arial" w:cs="Arial"/>
          <w:bCs/>
          <w:sz w:val="22"/>
          <w:szCs w:val="22"/>
          <w:u w:val="single"/>
          <w:lang w:val="es-ES_tradnl"/>
        </w:rPr>
        <w:t>Grupos destinatarios: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Los grupos más comunes a los cuales se dirigen las actividades de comunicación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incluyen a los gobiernos y en particular a los responsables de la toma de decisiones, tanto de los estados signatarios como de los estados del área de distribución no signatarios.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Signatarios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lastRenderedPageBreak/>
        <w:t>Estados del área de distribución no signatarios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Organizaciones internacionales pertinentes (OROP, ORP, CMR y PA, FAO, CITES)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Donantes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Público más amplio (dependiendo del comunicador)</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rPr>
      </w:pPr>
      <w:r w:rsidRPr="008F33E8">
        <w:rPr>
          <w:rFonts w:ascii="Arial" w:hAnsi="Arial" w:cs="Arial"/>
          <w:sz w:val="22"/>
          <w:szCs w:val="22"/>
        </w:rPr>
        <w:t xml:space="preserve">Sector </w:t>
      </w:r>
      <w:proofErr w:type="spellStart"/>
      <w:r w:rsidRPr="008F33E8">
        <w:rPr>
          <w:rFonts w:ascii="Arial" w:hAnsi="Arial" w:cs="Arial"/>
          <w:sz w:val="22"/>
          <w:szCs w:val="22"/>
        </w:rPr>
        <w:t>privado</w:t>
      </w:r>
      <w:proofErr w:type="spellEnd"/>
      <w:r w:rsidRPr="008F33E8">
        <w:rPr>
          <w:rFonts w:ascii="Arial" w:hAnsi="Arial" w:cs="Arial"/>
          <w:sz w:val="22"/>
          <w:szCs w:val="22"/>
        </w:rPr>
        <w:t xml:space="preserve"> (</w:t>
      </w:r>
      <w:proofErr w:type="spellStart"/>
      <w:r w:rsidRPr="008F33E8">
        <w:rPr>
          <w:rFonts w:ascii="Arial" w:hAnsi="Arial" w:cs="Arial"/>
          <w:sz w:val="22"/>
          <w:szCs w:val="22"/>
        </w:rPr>
        <w:t>p.ej</w:t>
      </w:r>
      <w:proofErr w:type="spellEnd"/>
      <w:r w:rsidRPr="008F33E8">
        <w:rPr>
          <w:rFonts w:ascii="Arial" w:hAnsi="Arial" w:cs="Arial"/>
          <w:sz w:val="22"/>
          <w:szCs w:val="22"/>
        </w:rPr>
        <w:t>. Marine Stewardship Council - MSC)</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Organizaciones de investigación</w:t>
      </w:r>
    </w:p>
    <w:p w:rsidR="008F33E8" w:rsidRPr="008F33E8" w:rsidRDefault="008F33E8" w:rsidP="008F33E8">
      <w:pPr>
        <w:widowControl/>
        <w:numPr>
          <w:ilvl w:val="0"/>
          <w:numId w:val="11"/>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Partes interesadas (industria pesquera, comunidades locales)</w:t>
      </w:r>
    </w:p>
    <w:p w:rsidR="008F33E8" w:rsidRPr="008F33E8" w:rsidRDefault="008F33E8" w:rsidP="008F33E8">
      <w:pPr>
        <w:ind w:left="720"/>
        <w:contextualSpacing/>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El público destinatario debe limitarse y especificarse dependiendo del tema, contexto y campaña de comunicación específica que se esté planificando - por ejemplo, puede incluir al público general que vive cerca de la costa, consumidores tales como comunidades pesqueras locales, sector turístico o industria pesquera - siempre dependiendo del contexto y los objetivos de las iniciativas de comunicación.</w:t>
      </w:r>
    </w:p>
    <w:p w:rsidR="008F33E8" w:rsidRPr="008F33E8" w:rsidRDefault="008F33E8" w:rsidP="008F33E8">
      <w:pPr>
        <w:jc w:val="both"/>
        <w:rPr>
          <w:rFonts w:ascii="Arial" w:hAnsi="Arial" w:cs="Arial"/>
          <w:b/>
          <w:sz w:val="22"/>
          <w:szCs w:val="22"/>
          <w:lang w:val="es-ES_tradnl"/>
        </w:rPr>
      </w:pPr>
    </w:p>
    <w:p w:rsidR="008F33E8" w:rsidRPr="008F33E8" w:rsidRDefault="008F33E8" w:rsidP="008F33E8">
      <w:pPr>
        <w:jc w:val="both"/>
        <w:rPr>
          <w:rFonts w:ascii="Arial" w:hAnsi="Arial" w:cs="Arial"/>
          <w:b/>
          <w:sz w:val="22"/>
          <w:szCs w:val="22"/>
          <w:lang w:val="es-ES_tradnl"/>
        </w:rPr>
      </w:pPr>
      <w:r w:rsidRPr="008F33E8">
        <w:rPr>
          <w:rFonts w:ascii="Arial" w:hAnsi="Arial" w:cs="Arial"/>
          <w:b/>
          <w:szCs w:val="20"/>
          <w:lang w:val="es-ES_tradnl"/>
        </w:rPr>
        <w:t>Tabla 1:  Matriz de comunicación: Comunicadores y sus grupos destinatarios</w:t>
      </w:r>
    </w:p>
    <w:p w:rsidR="008F33E8" w:rsidRPr="008F33E8" w:rsidRDefault="008F33E8" w:rsidP="008F33E8">
      <w:pPr>
        <w:ind w:left="851"/>
        <w:jc w:val="both"/>
        <w:rPr>
          <w:rFonts w:ascii="Arial" w:hAnsi="Arial" w:cs="Arial"/>
          <w:szCs w:val="20"/>
          <w:lang w:val="es-ES_tradnl"/>
        </w:rPr>
      </w:pPr>
      <w:r w:rsidRPr="008F33E8">
        <w:rPr>
          <w:rFonts w:ascii="Arial" w:hAnsi="Arial" w:cs="Arial"/>
          <w:szCs w:val="20"/>
          <w:lang w:val="es-ES_tradnl"/>
        </w:rPr>
        <w:t xml:space="preserve">La matriz a continuación muestra con qué grupos destinatarios se comunican los principales comunicadores del </w:t>
      </w:r>
      <w:proofErr w:type="spellStart"/>
      <w:r w:rsidRPr="008F33E8">
        <w:rPr>
          <w:rFonts w:ascii="Arial" w:hAnsi="Arial" w:cs="Arial"/>
          <w:szCs w:val="20"/>
          <w:lang w:val="es-ES_tradnl"/>
        </w:rPr>
        <w:t>MdE</w:t>
      </w:r>
      <w:proofErr w:type="spellEnd"/>
      <w:r w:rsidRPr="008F33E8">
        <w:rPr>
          <w:rFonts w:ascii="Arial" w:hAnsi="Arial" w:cs="Arial"/>
          <w:szCs w:val="20"/>
          <w:lang w:val="es-ES_tradnl"/>
        </w:rPr>
        <w:t xml:space="preserve"> sobre tiburones.</w:t>
      </w:r>
    </w:p>
    <w:tbl>
      <w:tblPr>
        <w:tblStyle w:val="GridTable1Light1"/>
        <w:tblW w:w="9355" w:type="dxa"/>
        <w:tblLayout w:type="fixed"/>
        <w:tblLook w:val="04A0" w:firstRow="1" w:lastRow="0" w:firstColumn="1" w:lastColumn="0" w:noHBand="0" w:noVBand="1"/>
      </w:tblPr>
      <w:tblGrid>
        <w:gridCol w:w="1971"/>
        <w:gridCol w:w="774"/>
        <w:gridCol w:w="784"/>
        <w:gridCol w:w="867"/>
        <w:gridCol w:w="909"/>
        <w:gridCol w:w="826"/>
        <w:gridCol w:w="867"/>
        <w:gridCol w:w="826"/>
        <w:gridCol w:w="901"/>
        <w:gridCol w:w="630"/>
      </w:tblGrid>
      <w:tr w:rsidR="008F33E8" w:rsidRPr="008F33E8" w:rsidTr="001B1F5C">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971" w:type="dxa"/>
          </w:tcPr>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right"/>
              <w:rPr>
                <w:rFonts w:ascii="Arial" w:hAnsi="Arial" w:cs="Arial"/>
                <w:sz w:val="22"/>
                <w:szCs w:val="22"/>
                <w:lang w:val="es-ES_tradnl"/>
              </w:rPr>
            </w:pPr>
            <w:r w:rsidRPr="008F33E8">
              <w:rPr>
                <w:rFonts w:ascii="Arial" w:hAnsi="Arial" w:cs="Arial"/>
                <w:sz w:val="22"/>
                <w:szCs w:val="22"/>
                <w:lang w:val="es-ES_tradnl"/>
              </w:rPr>
              <w:t xml:space="preserve"> Grupos objetivo </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Comunicadores</w:t>
            </w:r>
          </w:p>
        </w:tc>
        <w:tc>
          <w:tcPr>
            <w:tcW w:w="774"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Signatarios</w:t>
            </w:r>
          </w:p>
        </w:tc>
        <w:tc>
          <w:tcPr>
            <w:tcW w:w="784" w:type="dxa"/>
            <w:textDirection w:val="btLr"/>
          </w:tcPr>
          <w:p w:rsidR="008F33E8" w:rsidRPr="008F33E8" w:rsidRDefault="008F33E8" w:rsidP="008F33E8">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Cs w:val="20"/>
                <w:lang w:val="es-ES_tradnl"/>
              </w:rPr>
            </w:pPr>
            <w:r w:rsidRPr="008F33E8">
              <w:rPr>
                <w:rFonts w:ascii="Arial" w:hAnsi="Arial" w:cs="Arial"/>
                <w:szCs w:val="20"/>
                <w:lang w:val="es-ES_tradnl"/>
              </w:rPr>
              <w:t>Estados del área de distribución</w:t>
            </w:r>
          </w:p>
        </w:tc>
        <w:tc>
          <w:tcPr>
            <w:tcW w:w="867"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Comunidad científica</w:t>
            </w:r>
          </w:p>
        </w:tc>
        <w:tc>
          <w:tcPr>
            <w:tcW w:w="909"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Cs w:val="20"/>
                <w:lang w:val="es-ES_tradnl"/>
              </w:rPr>
            </w:pPr>
            <w:r w:rsidRPr="008F33E8">
              <w:rPr>
                <w:rFonts w:ascii="Arial" w:hAnsi="Arial" w:cs="Arial"/>
                <w:szCs w:val="20"/>
                <w:lang w:val="es-ES_tradnl"/>
              </w:rPr>
              <w:t>Organizaciones pertinentes</w:t>
            </w:r>
          </w:p>
        </w:tc>
        <w:tc>
          <w:tcPr>
            <w:tcW w:w="826"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Donantes</w:t>
            </w:r>
          </w:p>
        </w:tc>
        <w:tc>
          <w:tcPr>
            <w:tcW w:w="867" w:type="dxa"/>
            <w:textDirection w:val="btLr"/>
          </w:tcPr>
          <w:p w:rsidR="008F33E8" w:rsidRPr="008F33E8" w:rsidRDefault="008F33E8" w:rsidP="008F33E8">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Público más amplio</w:t>
            </w:r>
          </w:p>
        </w:tc>
        <w:tc>
          <w:tcPr>
            <w:tcW w:w="826"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Sector privado</w:t>
            </w:r>
          </w:p>
        </w:tc>
        <w:tc>
          <w:tcPr>
            <w:tcW w:w="901"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Cs w:val="20"/>
                <w:lang w:val="es-ES_tradnl"/>
              </w:rPr>
              <w:t>Organizaciones de investigación</w:t>
            </w:r>
          </w:p>
        </w:tc>
        <w:tc>
          <w:tcPr>
            <w:tcW w:w="630" w:type="dxa"/>
            <w:textDirection w:val="btLr"/>
          </w:tcPr>
          <w:p w:rsidR="008F33E8" w:rsidRPr="008F33E8" w:rsidRDefault="008F33E8" w:rsidP="008F33E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 xml:space="preserve">Partes interesadas </w:t>
            </w:r>
          </w:p>
        </w:tc>
      </w:tr>
      <w:tr w:rsidR="008F33E8" w:rsidRPr="008F33E8" w:rsidTr="001B1F5C">
        <w:trPr>
          <w:trHeight w:val="600"/>
        </w:trPr>
        <w:tc>
          <w:tcPr>
            <w:cnfStyle w:val="001000000000" w:firstRow="0" w:lastRow="0" w:firstColumn="1" w:lastColumn="0" w:oddVBand="0" w:evenVBand="0" w:oddHBand="0" w:evenHBand="0" w:firstRowFirstColumn="0" w:firstRowLastColumn="0" w:lastRowFirstColumn="0" w:lastRowLastColumn="0"/>
            <w:tcW w:w="1971" w:type="dxa"/>
          </w:tcPr>
          <w:p w:rsidR="008F33E8" w:rsidRPr="008F33E8" w:rsidRDefault="008F33E8" w:rsidP="008F33E8">
            <w:pPr>
              <w:rPr>
                <w:rFonts w:ascii="Arial" w:hAnsi="Arial" w:cs="Arial"/>
                <w:sz w:val="22"/>
                <w:szCs w:val="22"/>
                <w:lang w:val="es-ES_tradnl"/>
              </w:rPr>
            </w:pPr>
            <w:r w:rsidRPr="008F33E8">
              <w:rPr>
                <w:rFonts w:ascii="Arial" w:hAnsi="Arial" w:cs="Arial"/>
                <w:sz w:val="22"/>
                <w:szCs w:val="22"/>
                <w:lang w:val="es-ES_tradnl"/>
              </w:rPr>
              <w:t xml:space="preserve">Secretaría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w:t>
            </w:r>
          </w:p>
        </w:tc>
        <w:tc>
          <w:tcPr>
            <w:tcW w:w="77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78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909"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901"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630"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r>
      <w:tr w:rsidR="008F33E8" w:rsidRPr="008F33E8" w:rsidTr="00D435C7">
        <w:trPr>
          <w:trHeight w:val="534"/>
        </w:trPr>
        <w:tc>
          <w:tcPr>
            <w:cnfStyle w:val="001000000000" w:firstRow="0" w:lastRow="0" w:firstColumn="1" w:lastColumn="0" w:oddVBand="0" w:evenVBand="0" w:oddHBand="0" w:evenHBand="0" w:firstRowFirstColumn="0" w:firstRowLastColumn="0" w:lastRowFirstColumn="0" w:lastRowLastColumn="0"/>
            <w:tcW w:w="1971" w:type="dxa"/>
          </w:tcPr>
          <w:p w:rsidR="008F33E8" w:rsidRPr="008F33E8" w:rsidRDefault="008F33E8" w:rsidP="008F33E8">
            <w:pPr>
              <w:rPr>
                <w:rFonts w:ascii="Arial" w:hAnsi="Arial" w:cs="Arial"/>
                <w:sz w:val="22"/>
                <w:szCs w:val="22"/>
                <w:lang w:val="es-ES_tradnl"/>
              </w:rPr>
            </w:pPr>
            <w:r w:rsidRPr="008F33E8">
              <w:rPr>
                <w:rFonts w:ascii="Arial" w:hAnsi="Arial" w:cs="Arial"/>
                <w:sz w:val="22"/>
                <w:szCs w:val="22"/>
                <w:lang w:val="es-ES_tradnl"/>
              </w:rPr>
              <w:t>Signatarios</w:t>
            </w:r>
          </w:p>
        </w:tc>
        <w:tc>
          <w:tcPr>
            <w:tcW w:w="77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78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909"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901"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630"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r>
      <w:tr w:rsidR="008F33E8" w:rsidRPr="008F33E8" w:rsidTr="00D435C7">
        <w:trPr>
          <w:trHeight w:val="807"/>
        </w:trPr>
        <w:tc>
          <w:tcPr>
            <w:cnfStyle w:val="001000000000" w:firstRow="0" w:lastRow="0" w:firstColumn="1" w:lastColumn="0" w:oddVBand="0" w:evenVBand="0" w:oddHBand="0" w:evenHBand="0" w:firstRowFirstColumn="0" w:firstRowLastColumn="0" w:lastRowFirstColumn="0" w:lastRowLastColumn="0"/>
            <w:tcW w:w="1971" w:type="dxa"/>
          </w:tcPr>
          <w:p w:rsidR="008F33E8" w:rsidRPr="008F33E8" w:rsidRDefault="008F33E8" w:rsidP="008F33E8">
            <w:pPr>
              <w:rPr>
                <w:rFonts w:ascii="Arial" w:hAnsi="Arial" w:cs="Arial"/>
                <w:sz w:val="22"/>
                <w:szCs w:val="22"/>
                <w:lang w:val="es-ES_tradnl"/>
              </w:rPr>
            </w:pPr>
            <w:r w:rsidRPr="008F33E8">
              <w:rPr>
                <w:rFonts w:ascii="Arial" w:hAnsi="Arial" w:cs="Arial"/>
                <w:sz w:val="22"/>
                <w:szCs w:val="22"/>
                <w:lang w:val="es-ES_tradnl"/>
              </w:rPr>
              <w:t>Socios colaboradores</w:t>
            </w:r>
          </w:p>
        </w:tc>
        <w:tc>
          <w:tcPr>
            <w:tcW w:w="77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78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909"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901"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630"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r>
      <w:tr w:rsidR="008F33E8" w:rsidRPr="008F33E8" w:rsidTr="00D435C7">
        <w:trPr>
          <w:trHeight w:val="522"/>
        </w:trPr>
        <w:tc>
          <w:tcPr>
            <w:cnfStyle w:val="001000000000" w:firstRow="0" w:lastRow="0" w:firstColumn="1" w:lastColumn="0" w:oddVBand="0" w:evenVBand="0" w:oddHBand="0" w:evenHBand="0" w:firstRowFirstColumn="0" w:firstRowLastColumn="0" w:lastRowFirstColumn="0" w:lastRowLastColumn="0"/>
            <w:tcW w:w="1971" w:type="dxa"/>
          </w:tcPr>
          <w:p w:rsidR="008F33E8" w:rsidRPr="008F33E8" w:rsidRDefault="008F33E8" w:rsidP="008F33E8">
            <w:pPr>
              <w:rPr>
                <w:rFonts w:ascii="Arial" w:hAnsi="Arial" w:cs="Arial"/>
                <w:sz w:val="22"/>
                <w:szCs w:val="22"/>
                <w:lang w:val="es-ES_tradnl"/>
              </w:rPr>
            </w:pPr>
            <w:r w:rsidRPr="008F33E8">
              <w:rPr>
                <w:rFonts w:ascii="Arial" w:hAnsi="Arial" w:cs="Arial"/>
                <w:sz w:val="22"/>
                <w:szCs w:val="22"/>
                <w:lang w:val="es-ES_tradnl"/>
              </w:rPr>
              <w:t xml:space="preserve">CMS </w:t>
            </w:r>
          </w:p>
        </w:tc>
        <w:tc>
          <w:tcPr>
            <w:tcW w:w="77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784"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909"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67"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826"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c>
          <w:tcPr>
            <w:tcW w:w="901"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c>
          <w:tcPr>
            <w:tcW w:w="630" w:type="dxa"/>
          </w:tcPr>
          <w:p w:rsidR="008F33E8" w:rsidRPr="008F33E8" w:rsidRDefault="008F33E8" w:rsidP="008F33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8F33E8">
              <w:rPr>
                <w:rFonts w:ascii="Arial" w:hAnsi="Arial" w:cs="Arial"/>
                <w:sz w:val="22"/>
                <w:szCs w:val="22"/>
                <w:lang w:val="es-ES_tradnl"/>
              </w:rPr>
              <w:t>x</w:t>
            </w:r>
          </w:p>
        </w:tc>
      </w:tr>
    </w:tbl>
    <w:p w:rsidR="008F33E8" w:rsidRPr="008F33E8" w:rsidRDefault="008F33E8" w:rsidP="008F33E8">
      <w:pPr>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Propuesta de comunicación</w:t>
      </w:r>
    </w:p>
    <w:p w:rsidR="008F33E8" w:rsidRPr="008F33E8" w:rsidRDefault="008F33E8" w:rsidP="008F33E8">
      <w:pPr>
        <w:rPr>
          <w:rFonts w:ascii="Arial" w:hAnsi="Arial"/>
          <w:sz w:val="18"/>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Las actividades de comunicación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se alinearán con la identidad visual general de la Convención y la Familia CMS, como parte del PNUMA, para forjar y fortalecer aún más una identidad común en torno a las especies, temas y asuntos prioritarios. Estas prioridades deberán guiarse por los mandatos generales establecidos por la Convención y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y las decisiones adoptadas por los Signatarios.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Se hace hincapié en:</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7"/>
        </w:numPr>
        <w:autoSpaceDE/>
        <w:autoSpaceDN/>
        <w:adjustRightInd/>
        <w:spacing w:after="120"/>
        <w:jc w:val="both"/>
        <w:rPr>
          <w:rFonts w:ascii="Arial" w:hAnsi="Arial" w:cs="Arial"/>
          <w:sz w:val="22"/>
          <w:szCs w:val="22"/>
          <w:lang w:val="es-ES_tradnl"/>
        </w:rPr>
      </w:pPr>
      <w:r w:rsidRPr="008F33E8">
        <w:rPr>
          <w:rFonts w:ascii="Arial" w:hAnsi="Arial" w:cs="Arial"/>
          <w:sz w:val="22"/>
          <w:szCs w:val="22"/>
          <w:lang w:val="es-ES_tradnl"/>
        </w:rPr>
        <w:t xml:space="preserve">Enfoque temático - para facilitar la comunicación </w:t>
      </w:r>
      <w:proofErr w:type="gramStart"/>
      <w:r w:rsidRPr="008F33E8">
        <w:rPr>
          <w:rFonts w:ascii="Arial" w:hAnsi="Arial" w:cs="Arial"/>
          <w:sz w:val="22"/>
          <w:szCs w:val="22"/>
          <w:lang w:val="es-ES_tradnl"/>
        </w:rPr>
        <w:t>de acuerdo a</w:t>
      </w:r>
      <w:proofErr w:type="gramEnd"/>
      <w:r w:rsidRPr="008F33E8">
        <w:rPr>
          <w:rFonts w:ascii="Arial" w:hAnsi="Arial" w:cs="Arial"/>
          <w:sz w:val="22"/>
          <w:szCs w:val="22"/>
          <w:lang w:val="es-ES_tradnl"/>
        </w:rPr>
        <w:t xml:space="preserve"> los temas, problemas y especies priorizados;</w:t>
      </w:r>
    </w:p>
    <w:p w:rsidR="008F33E8" w:rsidRPr="008F33E8" w:rsidRDefault="008F33E8" w:rsidP="008F33E8">
      <w:pPr>
        <w:widowControl/>
        <w:numPr>
          <w:ilvl w:val="0"/>
          <w:numId w:val="7"/>
        </w:numPr>
        <w:autoSpaceDE/>
        <w:autoSpaceDN/>
        <w:adjustRightInd/>
        <w:spacing w:after="120"/>
        <w:jc w:val="both"/>
        <w:rPr>
          <w:rFonts w:ascii="Arial" w:hAnsi="Arial" w:cs="Arial"/>
          <w:sz w:val="22"/>
          <w:szCs w:val="22"/>
          <w:lang w:val="es-ES_tradnl"/>
        </w:rPr>
      </w:pPr>
      <w:r w:rsidRPr="008F33E8">
        <w:rPr>
          <w:rFonts w:ascii="Arial" w:hAnsi="Arial" w:cs="Arial"/>
          <w:sz w:val="22"/>
          <w:szCs w:val="22"/>
          <w:lang w:val="es-ES_tradnl"/>
        </w:rPr>
        <w:t xml:space="preserve">Alianzas estratégicas - trabajando en cooperación con los socios clave para abordar de forma más estratégica los objetivos compartidos, al tiempo que se vinculan los esfuerzos </w:t>
      </w:r>
      <w:r w:rsidRPr="008F33E8">
        <w:rPr>
          <w:rFonts w:ascii="Arial" w:hAnsi="Arial" w:cs="Arial"/>
          <w:sz w:val="22"/>
          <w:szCs w:val="22"/>
          <w:lang w:val="es-ES_tradnl"/>
        </w:rPr>
        <w:lastRenderedPageBreak/>
        <w:t xml:space="preserve">conjuntos con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y la Familia CMS (por ejemplo, socios colaboradores, embajadores, portavoces);</w:t>
      </w:r>
    </w:p>
    <w:p w:rsidR="008F33E8" w:rsidRPr="008F33E8" w:rsidRDefault="008F33E8" w:rsidP="008F33E8">
      <w:pPr>
        <w:widowControl/>
        <w:numPr>
          <w:ilvl w:val="0"/>
          <w:numId w:val="7"/>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 xml:space="preserve">Calendario y eventos especiales – las actividades se llevarán a cabo en fechas determinadas para complementar los procesos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y de la Familia CMS en los momentos de máxima atención mundial y de los medios de comunicación - especialmente en torno a las principales conferencias (COP), reuniones (MOS) y otros eventos, teniendo en cuenta los eventos de otras organizaciones clave para aprovechar la mayor atención de los medios de comunicación y facilitar la creación de asociaciones.</w:t>
      </w:r>
    </w:p>
    <w:p w:rsidR="008F33E8" w:rsidRPr="008F33E8" w:rsidRDefault="008F33E8" w:rsidP="008F33E8">
      <w:pPr>
        <w:widowControl/>
        <w:autoSpaceDE/>
        <w:autoSpaceDN/>
        <w:adjustRightInd/>
        <w:spacing w:before="120" w:after="120"/>
        <w:ind w:left="720"/>
        <w:contextualSpacing/>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spacing w:before="240" w:after="120"/>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Principios de comunicación</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El trabajo de comunicación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se guía por los siguientes principios: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Proporcionar información con una base científica sólida;</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Presentación adaptada al público correspondiente (diferencias culturales, geográficas, socioeconómicas, generacionales, etc.);</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Idiomas (inglés, francés y español tanto como sea posible, otros cuando sea apropiado);</w:t>
      </w:r>
    </w:p>
    <w:p w:rsidR="008F33E8" w:rsidRPr="008F33E8" w:rsidRDefault="008F33E8" w:rsidP="008F33E8">
      <w:pPr>
        <w:widowControl/>
        <w:numPr>
          <w:ilvl w:val="0"/>
          <w:numId w:val="11"/>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Sin buscar la confortación, sino el apoyo.</w:t>
      </w:r>
    </w:p>
    <w:p w:rsidR="008F33E8" w:rsidRPr="008F33E8" w:rsidRDefault="008F33E8" w:rsidP="008F33E8">
      <w:pPr>
        <w:keepNext/>
        <w:keepLines/>
        <w:widowControl/>
        <w:numPr>
          <w:ilvl w:val="0"/>
          <w:numId w:val="5"/>
        </w:numPr>
        <w:autoSpaceDE/>
        <w:autoSpaceDN/>
        <w:adjustRightInd/>
        <w:spacing w:before="240" w:after="120"/>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Herramientas y canales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Las herramientas y canales de comunicación utilizados por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son similares a los utilizados por la CMS, entre ellos: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Página web</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Comunicaciones directas (notificaciones, encuestas, invitaciones)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Prensa y medios de comunicación (comunicados de prensa, entrevistas)</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Redes sociales (Twitter, Facebook)</w:t>
      </w:r>
    </w:p>
    <w:p w:rsidR="008F33E8" w:rsidRPr="008F33E8" w:rsidRDefault="008F33E8" w:rsidP="008F33E8">
      <w:pPr>
        <w:widowControl/>
        <w:numPr>
          <w:ilvl w:val="0"/>
          <w:numId w:val="11"/>
        </w:numPr>
        <w:autoSpaceDE/>
        <w:autoSpaceDN/>
        <w:adjustRightInd/>
        <w:spacing w:after="40"/>
        <w:jc w:val="both"/>
        <w:rPr>
          <w:rFonts w:ascii="Arial" w:hAnsi="Arial" w:cs="Arial"/>
          <w:sz w:val="22"/>
          <w:szCs w:val="22"/>
          <w:lang w:val="es-ES_tradnl"/>
        </w:rPr>
      </w:pPr>
      <w:r w:rsidRPr="008F33E8">
        <w:rPr>
          <w:rFonts w:ascii="Arial" w:hAnsi="Arial" w:cs="Arial"/>
          <w:sz w:val="22"/>
          <w:szCs w:val="22"/>
          <w:lang w:val="es-ES_tradnl"/>
        </w:rPr>
        <w:t>Audiovisual y digital (presentaciones, entrevistas)</w:t>
      </w:r>
    </w:p>
    <w:p w:rsidR="008F33E8" w:rsidRPr="008F33E8" w:rsidRDefault="008F33E8" w:rsidP="008F33E8">
      <w:pPr>
        <w:widowControl/>
        <w:numPr>
          <w:ilvl w:val="0"/>
          <w:numId w:val="11"/>
        </w:numPr>
        <w:autoSpaceDE/>
        <w:autoSpaceDN/>
        <w:adjustRightInd/>
        <w:spacing w:before="120" w:after="120"/>
        <w:contextualSpacing/>
        <w:jc w:val="both"/>
        <w:rPr>
          <w:rFonts w:ascii="Arial" w:hAnsi="Arial" w:cs="Arial"/>
          <w:sz w:val="22"/>
          <w:szCs w:val="22"/>
          <w:lang w:val="es-ES_tradnl"/>
        </w:rPr>
      </w:pPr>
      <w:r w:rsidRPr="008F33E8">
        <w:rPr>
          <w:rFonts w:ascii="Arial" w:hAnsi="Arial" w:cs="Arial"/>
          <w:sz w:val="22"/>
          <w:szCs w:val="22"/>
          <w:lang w:val="es-ES_tradnl"/>
        </w:rPr>
        <w:t>Eventos especiales (observación de los eventos de la ONU y campañas relacionadas)</w:t>
      </w:r>
    </w:p>
    <w:p w:rsidR="008F33E8" w:rsidRPr="008F33E8" w:rsidRDefault="008F33E8" w:rsidP="008F33E8">
      <w:pPr>
        <w:widowControl/>
        <w:autoSpaceDE/>
        <w:autoSpaceDN/>
        <w:adjustRightInd/>
        <w:spacing w:before="120" w:after="120"/>
        <w:ind w:left="720"/>
        <w:contextualSpacing/>
        <w:jc w:val="both"/>
        <w:rPr>
          <w:rFonts w:ascii="Arial" w:hAnsi="Arial" w:cs="Arial"/>
          <w:sz w:val="22"/>
          <w:szCs w:val="22"/>
          <w:lang w:val="es-ES_tradnl"/>
        </w:rPr>
      </w:pPr>
    </w:p>
    <w:p w:rsidR="008F33E8" w:rsidRPr="008F33E8" w:rsidRDefault="008F33E8" w:rsidP="008F33E8">
      <w:pPr>
        <w:keepNext/>
        <w:keepLines/>
        <w:widowControl/>
        <w:numPr>
          <w:ilvl w:val="0"/>
          <w:numId w:val="5"/>
        </w:numPr>
        <w:autoSpaceDE/>
        <w:autoSpaceDN/>
        <w:adjustRightInd/>
        <w:ind w:hanging="720"/>
        <w:outlineLvl w:val="0"/>
        <w:rPr>
          <w:rFonts w:ascii="Arial" w:eastAsia="MS Gothic" w:hAnsi="Arial" w:cs="Arial"/>
          <w:b/>
          <w:sz w:val="22"/>
          <w:szCs w:val="22"/>
          <w:lang w:val="es-ES_tradnl"/>
        </w:rPr>
      </w:pPr>
      <w:r w:rsidRPr="008F33E8">
        <w:rPr>
          <w:rFonts w:ascii="Arial" w:eastAsia="MS Gothic" w:hAnsi="Arial" w:cs="Arial"/>
          <w:b/>
          <w:sz w:val="22"/>
          <w:szCs w:val="22"/>
          <w:lang w:val="es-ES_tradnl"/>
        </w:rPr>
        <w:t>Imagen visual</w:t>
      </w:r>
    </w:p>
    <w:p w:rsidR="008F33E8" w:rsidRPr="008F33E8" w:rsidRDefault="008F33E8" w:rsidP="008F33E8">
      <w:pPr>
        <w:rPr>
          <w:rFonts w:ascii="Arial" w:hAnsi="Arial"/>
          <w:sz w:val="18"/>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 xml:space="preserve">Como acuerdo concluido conforme al Artículo IV (4) de la CMS,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debe ser reconocido como parte de la Familia de la CMS y ONU Medio Ambiente</w:t>
      </w:r>
      <w:r w:rsidRPr="00FC614C">
        <w:rPr>
          <w:rFonts w:ascii="Arial" w:hAnsi="Arial" w:cs="Arial"/>
          <w:sz w:val="22"/>
          <w:szCs w:val="22"/>
          <w:vertAlign w:val="superscript"/>
          <w:lang w:val="es-ES_tradnl"/>
        </w:rPr>
        <w:footnoteReference w:id="6"/>
      </w:r>
      <w:r w:rsidRPr="008F33E8">
        <w:rPr>
          <w:rFonts w:ascii="Arial" w:hAnsi="Arial" w:cs="Arial"/>
          <w:sz w:val="22"/>
          <w:szCs w:val="22"/>
          <w:lang w:val="es-ES_tradnl"/>
        </w:rPr>
        <w:t xml:space="preserve"> bajo el cual se administra la CMS. Esta afiliación debe ser visible en todas las comunicaciones y debe utilizarse en todas las herramientas de comunicación. La identidad visual como parte de la CMS facilitará la comunicación del mensaje que 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pretende aplicar y se guiará por la CMS y sus objetivos y decisiones generales. </w:t>
      </w:r>
    </w:p>
    <w:p w:rsidR="008F33E8" w:rsidRPr="008F33E8" w:rsidRDefault="008F33E8" w:rsidP="008F33E8">
      <w:pPr>
        <w:jc w:val="both"/>
        <w:rPr>
          <w:rFonts w:ascii="Arial" w:hAnsi="Arial" w:cs="Arial"/>
          <w:sz w:val="22"/>
          <w:szCs w:val="22"/>
          <w:lang w:val="es-ES_tradnl"/>
        </w:rPr>
      </w:pPr>
    </w:p>
    <w:p w:rsidR="008F33E8" w:rsidRPr="00FC614C" w:rsidRDefault="008F33E8" w:rsidP="00FC614C">
      <w:pPr>
        <w:pStyle w:val="ListParagraph"/>
        <w:widowControl/>
        <w:numPr>
          <w:ilvl w:val="0"/>
          <w:numId w:val="13"/>
        </w:numPr>
        <w:autoSpaceDE/>
        <w:autoSpaceDN/>
        <w:adjustRightInd/>
        <w:spacing w:after="120"/>
        <w:rPr>
          <w:rFonts w:ascii="Arial" w:hAnsi="Arial" w:cs="Arial"/>
          <w:sz w:val="22"/>
          <w:szCs w:val="22"/>
          <w:lang w:val="es-ES_tradnl"/>
        </w:rPr>
      </w:pPr>
      <w:r w:rsidRPr="00FC614C">
        <w:rPr>
          <w:rFonts w:ascii="Arial" w:hAnsi="Arial" w:cs="Arial"/>
          <w:sz w:val="22"/>
          <w:szCs w:val="22"/>
          <w:lang w:val="es-ES_tradnl"/>
        </w:rPr>
        <w:t>Página web:</w:t>
      </w:r>
    </w:p>
    <w:p w:rsidR="008F33E8" w:rsidRPr="008F33E8" w:rsidRDefault="008F33E8" w:rsidP="008C7604">
      <w:pPr>
        <w:ind w:left="1080"/>
        <w:jc w:val="both"/>
        <w:rPr>
          <w:rFonts w:ascii="Arial" w:hAnsi="Arial" w:cs="Arial"/>
          <w:sz w:val="22"/>
          <w:szCs w:val="22"/>
          <w:lang w:val="es-ES_tradnl"/>
        </w:rPr>
      </w:pPr>
      <w:r w:rsidRPr="008F33E8">
        <w:rPr>
          <w:rFonts w:ascii="Arial" w:hAnsi="Arial" w:cs="Arial"/>
          <w:sz w:val="22"/>
          <w:szCs w:val="22"/>
          <w:lang w:val="es-ES_tradnl"/>
        </w:rPr>
        <w:t xml:space="preserve">La página web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es gestionada como una subpágina del sitio web de la Familia CMS, compartiendo la URL de la Convención.</w:t>
      </w:r>
    </w:p>
    <w:p w:rsidR="001B1F5C" w:rsidRDefault="001B1F5C">
      <w:pPr>
        <w:widowControl/>
        <w:autoSpaceDE/>
        <w:autoSpaceDN/>
        <w:adjustRightInd/>
        <w:spacing w:after="160" w:line="259" w:lineRule="auto"/>
        <w:rPr>
          <w:rFonts w:ascii="Arial" w:hAnsi="Arial" w:cs="Arial"/>
          <w:sz w:val="22"/>
          <w:szCs w:val="22"/>
          <w:lang w:val="es-ES_tradnl"/>
        </w:rPr>
      </w:pPr>
      <w:r>
        <w:rPr>
          <w:rFonts w:ascii="Arial" w:hAnsi="Arial" w:cs="Arial"/>
          <w:sz w:val="22"/>
          <w:szCs w:val="22"/>
          <w:lang w:val="es-ES_tradnl"/>
        </w:rPr>
        <w:br w:type="page"/>
      </w:r>
    </w:p>
    <w:p w:rsidR="008F33E8" w:rsidRPr="008F33E8" w:rsidRDefault="008F33E8" w:rsidP="00FC614C">
      <w:pPr>
        <w:widowControl/>
        <w:numPr>
          <w:ilvl w:val="0"/>
          <w:numId w:val="13"/>
        </w:numPr>
        <w:autoSpaceDE/>
        <w:autoSpaceDN/>
        <w:adjustRightInd/>
        <w:contextualSpacing/>
        <w:rPr>
          <w:rFonts w:ascii="Arial" w:hAnsi="Arial" w:cs="Arial"/>
          <w:sz w:val="22"/>
          <w:szCs w:val="22"/>
          <w:lang w:val="es-ES_tradnl"/>
        </w:rPr>
      </w:pPr>
      <w:r w:rsidRPr="008F33E8">
        <w:rPr>
          <w:rFonts w:ascii="Arial" w:hAnsi="Arial" w:cs="Arial"/>
          <w:sz w:val="22"/>
          <w:szCs w:val="22"/>
          <w:lang w:val="es-ES_tradnl"/>
        </w:rPr>
        <w:lastRenderedPageBreak/>
        <w:t>Logotipos:</w:t>
      </w:r>
    </w:p>
    <w:p w:rsidR="008F33E8" w:rsidRPr="008F33E8" w:rsidRDefault="008F33E8" w:rsidP="008F33E8">
      <w:pPr>
        <w:rPr>
          <w:rFonts w:ascii="Arial" w:hAnsi="Arial" w:cs="Arial"/>
          <w:sz w:val="22"/>
          <w:szCs w:val="22"/>
          <w:lang w:val="es-ES_tradnl"/>
        </w:rPr>
      </w:pPr>
    </w:p>
    <w:p w:rsidR="008F33E8" w:rsidRPr="008F33E8" w:rsidRDefault="008F33E8" w:rsidP="008F33E8">
      <w:pPr>
        <w:rPr>
          <w:rFonts w:ascii="Arial" w:hAnsi="Arial" w:cs="Arial"/>
          <w:sz w:val="22"/>
          <w:szCs w:val="22"/>
          <w:lang w:val="es-ES_tradnl"/>
        </w:rPr>
      </w:pPr>
      <w:r w:rsidRPr="008F33E8">
        <w:rPr>
          <w:rFonts w:ascii="Arial" w:hAnsi="Arial" w:cs="Arial"/>
          <w:noProof/>
          <w:sz w:val="22"/>
          <w:szCs w:val="22"/>
          <w:lang w:val="es-ES_tradnl"/>
        </w:rPr>
        <w:drawing>
          <wp:anchor distT="0" distB="0" distL="114300" distR="114300" simplePos="0" relativeHeight="251666432" behindDoc="0" locked="0" layoutInCell="1" allowOverlap="1" wp14:anchorId="427A5F2E" wp14:editId="6BA248F7">
            <wp:simplePos x="0" y="0"/>
            <wp:positionH relativeFrom="column">
              <wp:posOffset>685800</wp:posOffset>
            </wp:positionH>
            <wp:positionV relativeFrom="paragraph">
              <wp:posOffset>63500</wp:posOffset>
            </wp:positionV>
            <wp:extent cx="1615440" cy="1146810"/>
            <wp:effectExtent l="0" t="0" r="10160" b="0"/>
            <wp:wrapThrough wrapText="bothSides">
              <wp:wrapPolygon edited="0">
                <wp:start x="21600" y="21600"/>
                <wp:lineTo x="21600" y="550"/>
                <wp:lineTo x="204" y="550"/>
                <wp:lineTo x="204" y="21600"/>
                <wp:lineTo x="21600" y="2160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 Sharks MOU_blue1.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H="1" flipV="1">
                      <a:off x="0" y="0"/>
                      <a:ext cx="1615440" cy="1146810"/>
                    </a:xfrm>
                    <a:prstGeom prst="rect">
                      <a:avLst/>
                    </a:prstGeom>
                  </pic:spPr>
                </pic:pic>
              </a:graphicData>
            </a:graphic>
          </wp:anchor>
        </w:drawing>
      </w:r>
      <w:r w:rsidRPr="008F33E8">
        <w:rPr>
          <w:rFonts w:ascii="Arial" w:hAnsi="Arial" w:cs="Arial"/>
          <w:noProof/>
          <w:sz w:val="22"/>
          <w:szCs w:val="22"/>
          <w:lang w:val="es-ES_tradnl"/>
        </w:rPr>
        <w:drawing>
          <wp:anchor distT="0" distB="0" distL="114300" distR="114300" simplePos="0" relativeHeight="251665408" behindDoc="0" locked="0" layoutInCell="1" allowOverlap="1" wp14:anchorId="4BD62317" wp14:editId="710D10D4">
            <wp:simplePos x="0" y="0"/>
            <wp:positionH relativeFrom="column">
              <wp:posOffset>2705100</wp:posOffset>
            </wp:positionH>
            <wp:positionV relativeFrom="paragraph">
              <wp:posOffset>36195</wp:posOffset>
            </wp:positionV>
            <wp:extent cx="731520" cy="1036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MS_logo.png"/>
                    <pic:cNvPicPr/>
                  </pic:nvPicPr>
                  <pic:blipFill>
                    <a:blip r:embed="rId12">
                      <a:extLst>
                        <a:ext uri="{28A0092B-C50C-407E-A947-70E740481C1C}">
                          <a14:useLocalDpi xmlns:a14="http://schemas.microsoft.com/office/drawing/2010/main" val="0"/>
                        </a:ext>
                      </a:extLst>
                    </a:blip>
                    <a:stretch>
                      <a:fillRect/>
                    </a:stretch>
                  </pic:blipFill>
                  <pic:spPr>
                    <a:xfrm>
                      <a:off x="0" y="0"/>
                      <a:ext cx="731520" cy="1036320"/>
                    </a:xfrm>
                    <a:prstGeom prst="rect">
                      <a:avLst/>
                    </a:prstGeom>
                  </pic:spPr>
                </pic:pic>
              </a:graphicData>
            </a:graphic>
            <wp14:sizeRelH relativeFrom="margin">
              <wp14:pctWidth>0</wp14:pctWidth>
            </wp14:sizeRelH>
            <wp14:sizeRelV relativeFrom="margin">
              <wp14:pctHeight>0</wp14:pctHeight>
            </wp14:sizeRelV>
          </wp:anchor>
        </w:drawing>
      </w:r>
      <w:r w:rsidRPr="008F33E8">
        <w:rPr>
          <w:rFonts w:ascii="Arial" w:hAnsi="Arial" w:cs="Arial"/>
          <w:noProof/>
          <w:sz w:val="22"/>
          <w:szCs w:val="22"/>
          <w:lang w:val="es-ES_tradnl"/>
        </w:rPr>
        <w:drawing>
          <wp:anchor distT="0" distB="0" distL="114300" distR="114300" simplePos="0" relativeHeight="251667456" behindDoc="0" locked="0" layoutInCell="1" allowOverlap="1" wp14:anchorId="1D4B8F4D" wp14:editId="76C5413B">
            <wp:simplePos x="0" y="0"/>
            <wp:positionH relativeFrom="column">
              <wp:posOffset>3916045</wp:posOffset>
            </wp:positionH>
            <wp:positionV relativeFrom="paragraph">
              <wp:posOffset>56110</wp:posOffset>
            </wp:positionV>
            <wp:extent cx="1833677" cy="975360"/>
            <wp:effectExtent l="0" t="0" r="0" b="0"/>
            <wp:wrapNone/>
            <wp:docPr id="8" name="Picture 8" descr="UN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Environ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3677"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8C7604">
      <w:pPr>
        <w:ind w:left="1080"/>
        <w:jc w:val="both"/>
        <w:rPr>
          <w:rFonts w:ascii="Arial" w:hAnsi="Arial" w:cs="Arial"/>
          <w:sz w:val="22"/>
          <w:szCs w:val="22"/>
          <w:lang w:val="es-ES_tradnl"/>
        </w:rPr>
      </w:pPr>
      <w:r w:rsidRPr="008F33E8">
        <w:rPr>
          <w:rFonts w:ascii="Arial" w:hAnsi="Arial" w:cs="Arial"/>
          <w:sz w:val="22"/>
          <w:szCs w:val="22"/>
          <w:lang w:val="es-ES_tradnl"/>
        </w:rPr>
        <w:t xml:space="preserve">En todas las formas de comunicación, incluyendo membretes, presentaciones, documentos de reuniones, redes sociales, página web, etc. el logotipo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(en su forma actual) es utilizado junto con los logotipos de la CMS y ONU Medio Ambiente. De esta manera, se demuestra una fuerte afiliación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con su convención madre y ONU Medio Ambiente.  </w:t>
      </w: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FC614C">
      <w:pPr>
        <w:widowControl/>
        <w:numPr>
          <w:ilvl w:val="0"/>
          <w:numId w:val="13"/>
        </w:numPr>
        <w:autoSpaceDE/>
        <w:autoSpaceDN/>
        <w:adjustRightInd/>
        <w:spacing w:before="120" w:after="120"/>
        <w:contextualSpacing/>
        <w:rPr>
          <w:rFonts w:ascii="Arial" w:hAnsi="Arial" w:cs="Arial"/>
          <w:sz w:val="22"/>
          <w:szCs w:val="22"/>
          <w:lang w:val="es-ES_tradnl"/>
        </w:rPr>
      </w:pPr>
      <w:r w:rsidRPr="008F33E8">
        <w:rPr>
          <w:rFonts w:ascii="Arial" w:hAnsi="Arial" w:cs="Arial"/>
          <w:sz w:val="22"/>
          <w:szCs w:val="22"/>
          <w:lang w:val="es-ES_tradnl"/>
        </w:rPr>
        <w:t xml:space="preserve">Dirección de correo electrónico: </w:t>
      </w:r>
      <w:r w:rsidRPr="008F33E8">
        <w:rPr>
          <w:rFonts w:ascii="Arial" w:hAnsi="Arial" w:cs="Arial"/>
          <w:sz w:val="22"/>
          <w:szCs w:val="22"/>
          <w:u w:val="single"/>
          <w:lang w:val="es-ES_tradnl"/>
        </w:rPr>
        <w:t>name@un.org</w:t>
      </w:r>
    </w:p>
    <w:p w:rsidR="008F33E8" w:rsidRPr="008F33E8" w:rsidRDefault="008F33E8" w:rsidP="008F33E8">
      <w:pPr>
        <w:ind w:left="720"/>
        <w:contextualSpacing/>
        <w:rPr>
          <w:rFonts w:ascii="Arial" w:hAnsi="Arial" w:cs="Arial"/>
          <w:sz w:val="22"/>
          <w:szCs w:val="22"/>
          <w:lang w:val="es-ES_tradnl"/>
        </w:rPr>
      </w:pPr>
    </w:p>
    <w:p w:rsidR="008F33E8" w:rsidRPr="008F33E8" w:rsidRDefault="008F33E8" w:rsidP="00FC614C">
      <w:pPr>
        <w:widowControl/>
        <w:numPr>
          <w:ilvl w:val="0"/>
          <w:numId w:val="13"/>
        </w:numPr>
        <w:autoSpaceDE/>
        <w:autoSpaceDN/>
        <w:adjustRightInd/>
        <w:spacing w:after="120"/>
        <w:rPr>
          <w:rFonts w:ascii="Arial" w:hAnsi="Arial" w:cs="Arial"/>
          <w:sz w:val="22"/>
          <w:szCs w:val="22"/>
          <w:lang w:val="es-ES_tradnl"/>
        </w:rPr>
      </w:pPr>
      <w:r w:rsidRPr="008F33E8">
        <w:rPr>
          <w:rFonts w:ascii="Arial" w:hAnsi="Arial" w:cs="Arial"/>
          <w:sz w:val="22"/>
          <w:szCs w:val="22"/>
          <w:lang w:val="es-ES_tradnl"/>
        </w:rPr>
        <w:t>Membretes / cabeceras de los documentos / presentaciones:</w:t>
      </w:r>
    </w:p>
    <w:p w:rsidR="008F33E8" w:rsidRDefault="008F33E8" w:rsidP="008C7604">
      <w:pPr>
        <w:ind w:left="1080"/>
        <w:contextualSpacing/>
        <w:jc w:val="both"/>
        <w:rPr>
          <w:rFonts w:ascii="Arial" w:hAnsi="Arial" w:cs="Arial"/>
          <w:sz w:val="22"/>
          <w:szCs w:val="22"/>
          <w:lang w:val="es-ES_tradnl"/>
        </w:rPr>
      </w:pPr>
      <w:r w:rsidRPr="008F33E8">
        <w:rPr>
          <w:rFonts w:ascii="Arial" w:hAnsi="Arial" w:cs="Arial"/>
          <w:sz w:val="22"/>
          <w:szCs w:val="22"/>
          <w:lang w:val="es-ES_tradnl"/>
        </w:rPr>
        <w:t xml:space="preserve">Todos los membretes, cabeceras de los documentos y presentaciones incluirán los logotipos del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la CMS y ONU Medio Ambiente. La numeración de los documentos de las reuniones comenzará con CMS/</w:t>
      </w:r>
      <w:proofErr w:type="spellStart"/>
      <w:r w:rsidRPr="008F33E8">
        <w:rPr>
          <w:rFonts w:ascii="Arial" w:hAnsi="Arial" w:cs="Arial"/>
          <w:sz w:val="22"/>
          <w:szCs w:val="22"/>
          <w:lang w:val="es-ES_tradnl"/>
        </w:rPr>
        <w:t>Sharks</w:t>
      </w:r>
      <w:proofErr w:type="spellEnd"/>
      <w:r w:rsidRPr="008F33E8">
        <w:rPr>
          <w:rFonts w:ascii="Arial" w:hAnsi="Arial" w:cs="Arial"/>
          <w:sz w:val="22"/>
          <w:szCs w:val="22"/>
          <w:lang w:val="es-ES_tradnl"/>
        </w:rPr>
        <w:t>/...</w:t>
      </w:r>
    </w:p>
    <w:p w:rsidR="00FC614C" w:rsidRPr="008F33E8" w:rsidRDefault="00FC614C" w:rsidP="008F33E8">
      <w:pPr>
        <w:ind w:left="720"/>
        <w:contextualSpacing/>
        <w:jc w:val="both"/>
        <w:rPr>
          <w:rFonts w:ascii="Arial" w:hAnsi="Arial" w:cs="Arial"/>
          <w:sz w:val="22"/>
          <w:szCs w:val="22"/>
          <w:lang w:val="es-ES_tradnl"/>
        </w:rPr>
      </w:pPr>
    </w:p>
    <w:p w:rsidR="008F33E8" w:rsidRPr="008F33E8" w:rsidRDefault="008F33E8" w:rsidP="00FC614C">
      <w:pPr>
        <w:widowControl/>
        <w:numPr>
          <w:ilvl w:val="0"/>
          <w:numId w:val="13"/>
        </w:numPr>
        <w:autoSpaceDE/>
        <w:autoSpaceDN/>
        <w:adjustRightInd/>
        <w:spacing w:after="120"/>
        <w:rPr>
          <w:rFonts w:ascii="Arial" w:hAnsi="Arial" w:cs="Arial"/>
          <w:sz w:val="22"/>
          <w:szCs w:val="22"/>
          <w:lang w:val="es-ES_tradnl"/>
        </w:rPr>
      </w:pPr>
      <w:r w:rsidRPr="008F33E8">
        <w:rPr>
          <w:rFonts w:ascii="Arial" w:hAnsi="Arial" w:cs="Arial"/>
          <w:sz w:val="22"/>
          <w:szCs w:val="22"/>
          <w:lang w:val="es-ES_tradnl"/>
        </w:rPr>
        <w:t>Redes sociales / medios de comunicación:</w:t>
      </w:r>
    </w:p>
    <w:p w:rsidR="008F33E8" w:rsidRPr="008F33E8" w:rsidRDefault="008F33E8" w:rsidP="008C7604">
      <w:pPr>
        <w:ind w:left="1080"/>
        <w:jc w:val="both"/>
        <w:rPr>
          <w:rFonts w:ascii="Arial" w:hAnsi="Arial" w:cs="Arial"/>
          <w:sz w:val="22"/>
          <w:szCs w:val="22"/>
          <w:lang w:val="es-ES_tradnl"/>
        </w:rPr>
      </w:pPr>
      <w:r w:rsidRPr="008F33E8">
        <w:rPr>
          <w:rFonts w:ascii="Arial" w:hAnsi="Arial" w:cs="Arial"/>
          <w:sz w:val="22"/>
          <w:szCs w:val="22"/>
          <w:lang w:val="es-ES_tradnl"/>
        </w:rPr>
        <w:t xml:space="preserve">El </w:t>
      </w: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 xml:space="preserve"> sobre tiburones vincula o comparte cuentas de redes sociales con la CMS y se comunica a sí mismo como parte de la CMS en artículos de opinión, comunicados de prensa y otros productos de los medios de comunicación.</w:t>
      </w:r>
    </w:p>
    <w:p w:rsidR="008F33E8" w:rsidRPr="008F33E8" w:rsidRDefault="008F33E8" w:rsidP="008F33E8">
      <w:pPr>
        <w:rPr>
          <w:rFonts w:ascii="Arial" w:hAnsi="Arial" w:cs="Arial"/>
          <w:b/>
          <w:sz w:val="22"/>
          <w:szCs w:val="22"/>
          <w:lang w:val="es-ES_tradnl"/>
        </w:rPr>
      </w:pPr>
    </w:p>
    <w:p w:rsidR="008F33E8" w:rsidRPr="008F33E8" w:rsidRDefault="008F33E8" w:rsidP="008F33E8">
      <w:pPr>
        <w:rPr>
          <w:rFonts w:ascii="Arial" w:hAnsi="Arial" w:cs="Arial"/>
          <w:b/>
          <w:sz w:val="22"/>
          <w:szCs w:val="22"/>
          <w:lang w:val="es-ES_tradnl"/>
        </w:rPr>
      </w:pPr>
      <w:r w:rsidRPr="008F33E8">
        <w:rPr>
          <w:rFonts w:ascii="Arial" w:hAnsi="Arial" w:cs="Arial"/>
          <w:b/>
          <w:sz w:val="22"/>
          <w:szCs w:val="22"/>
          <w:lang w:val="es-ES_tradnl"/>
        </w:rPr>
        <w:t>Lista de siglas</w:t>
      </w:r>
    </w:p>
    <w:p w:rsidR="008F33E8" w:rsidRPr="008F33E8" w:rsidRDefault="008F33E8" w:rsidP="008F33E8">
      <w:pPr>
        <w:jc w:val="both"/>
        <w:rPr>
          <w:rFonts w:ascii="Arial" w:hAnsi="Arial" w:cs="Arial"/>
          <w:sz w:val="22"/>
          <w:szCs w:val="22"/>
          <w:lang w:val="es-ES_tradnl"/>
        </w:rPr>
      </w:pP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AAM</w:t>
      </w:r>
      <w:r w:rsidRPr="008F33E8">
        <w:rPr>
          <w:rFonts w:ascii="Arial" w:hAnsi="Arial" w:cs="Arial"/>
          <w:sz w:val="22"/>
          <w:szCs w:val="22"/>
          <w:lang w:val="es-ES_tradnl"/>
        </w:rPr>
        <w:tab/>
      </w:r>
      <w:r w:rsidRPr="008F33E8">
        <w:rPr>
          <w:rFonts w:ascii="Arial" w:hAnsi="Arial" w:cs="Arial"/>
          <w:sz w:val="22"/>
          <w:szCs w:val="22"/>
          <w:lang w:val="es-ES_tradnl"/>
        </w:rPr>
        <w:tab/>
        <w:t>Acuerdo Ambiental Multilateral</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CA</w:t>
      </w:r>
      <w:r w:rsidRPr="008F33E8">
        <w:rPr>
          <w:rFonts w:ascii="Arial" w:hAnsi="Arial" w:cs="Arial"/>
          <w:sz w:val="22"/>
          <w:szCs w:val="22"/>
          <w:lang w:val="es-ES_tradnl"/>
        </w:rPr>
        <w:tab/>
      </w:r>
      <w:r w:rsidRPr="008F33E8">
        <w:rPr>
          <w:rFonts w:ascii="Arial" w:hAnsi="Arial" w:cs="Arial"/>
          <w:sz w:val="22"/>
          <w:szCs w:val="22"/>
          <w:lang w:val="es-ES_tradnl"/>
        </w:rPr>
        <w:tab/>
        <w:t>Comité Asesor</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CDB</w:t>
      </w:r>
      <w:r w:rsidRPr="008F33E8">
        <w:rPr>
          <w:rFonts w:ascii="Arial" w:hAnsi="Arial" w:cs="Arial"/>
          <w:sz w:val="22"/>
          <w:szCs w:val="22"/>
          <w:lang w:val="es-ES_tradnl"/>
        </w:rPr>
        <w:tab/>
      </w:r>
      <w:r w:rsidRPr="008F33E8">
        <w:rPr>
          <w:rFonts w:ascii="Arial" w:hAnsi="Arial" w:cs="Arial"/>
          <w:sz w:val="22"/>
          <w:szCs w:val="22"/>
          <w:lang w:val="es-ES_tradnl"/>
        </w:rPr>
        <w:tab/>
        <w:t>Convenio sobre la Diversidad Biológica</w:t>
      </w:r>
    </w:p>
    <w:p w:rsidR="008F33E8" w:rsidRPr="008F33E8" w:rsidRDefault="008F33E8" w:rsidP="008F33E8">
      <w:pPr>
        <w:ind w:left="1440" w:hanging="1440"/>
        <w:jc w:val="both"/>
        <w:rPr>
          <w:rFonts w:ascii="Arial" w:hAnsi="Arial" w:cs="Arial"/>
          <w:sz w:val="22"/>
          <w:szCs w:val="22"/>
          <w:lang w:val="es-ES_tradnl"/>
        </w:rPr>
      </w:pPr>
      <w:r w:rsidRPr="008F33E8">
        <w:rPr>
          <w:rFonts w:ascii="Arial" w:hAnsi="Arial" w:cs="Arial"/>
          <w:sz w:val="22"/>
          <w:szCs w:val="22"/>
          <w:lang w:val="es-ES_tradnl"/>
        </w:rPr>
        <w:t>CITES</w:t>
      </w:r>
      <w:r w:rsidRPr="008F33E8">
        <w:rPr>
          <w:rFonts w:ascii="Arial" w:hAnsi="Arial" w:cs="Arial"/>
          <w:sz w:val="22"/>
          <w:szCs w:val="22"/>
          <w:lang w:val="es-ES_tradnl"/>
        </w:rPr>
        <w:tab/>
        <w:t>Convención sobre el Comercio Internacional de Especies Amenazadas de Fauna y Flora Silvestres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CMR y PA</w:t>
      </w:r>
      <w:r w:rsidRPr="008F33E8">
        <w:rPr>
          <w:rFonts w:ascii="Arial" w:hAnsi="Arial" w:cs="Arial"/>
          <w:sz w:val="22"/>
          <w:szCs w:val="22"/>
          <w:lang w:val="es-ES_tradnl"/>
        </w:rPr>
        <w:tab/>
        <w:t>Convenciones sobre Mares Regionales y Planes de Acción</w:t>
      </w:r>
    </w:p>
    <w:p w:rsidR="008F33E8" w:rsidRPr="008F33E8" w:rsidRDefault="008F33E8" w:rsidP="008F33E8">
      <w:pPr>
        <w:ind w:left="1418" w:hanging="1418"/>
        <w:jc w:val="both"/>
        <w:rPr>
          <w:rFonts w:ascii="Arial" w:hAnsi="Arial" w:cs="Arial"/>
          <w:sz w:val="22"/>
          <w:szCs w:val="22"/>
          <w:lang w:val="es-ES_tradnl"/>
        </w:rPr>
      </w:pPr>
      <w:r w:rsidRPr="008F33E8">
        <w:rPr>
          <w:rFonts w:ascii="Arial" w:hAnsi="Arial" w:cs="Arial"/>
          <w:sz w:val="22"/>
          <w:szCs w:val="22"/>
          <w:lang w:val="es-ES_tradnl"/>
        </w:rPr>
        <w:t>CMS</w:t>
      </w:r>
      <w:r w:rsidRPr="008F33E8">
        <w:rPr>
          <w:rFonts w:ascii="Arial" w:hAnsi="Arial" w:cs="Arial"/>
          <w:sz w:val="22"/>
          <w:szCs w:val="22"/>
          <w:lang w:val="es-ES_tradnl"/>
        </w:rPr>
        <w:tab/>
      </w:r>
      <w:r w:rsidRPr="008F33E8">
        <w:rPr>
          <w:rFonts w:ascii="Arial" w:hAnsi="Arial" w:cs="Arial"/>
          <w:sz w:val="22"/>
          <w:szCs w:val="22"/>
          <w:lang w:val="es-ES_tradnl"/>
        </w:rPr>
        <w:tab/>
        <w:t>Convención sobre la conservación de las especies migratorias de animales   Silvestres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COP</w:t>
      </w:r>
      <w:r w:rsidRPr="008F33E8">
        <w:rPr>
          <w:rFonts w:ascii="Arial" w:hAnsi="Arial" w:cs="Arial"/>
          <w:sz w:val="22"/>
          <w:szCs w:val="22"/>
          <w:lang w:val="es-ES_tradnl"/>
        </w:rPr>
        <w:tab/>
      </w:r>
      <w:r w:rsidRPr="008F33E8">
        <w:rPr>
          <w:rFonts w:ascii="Arial" w:hAnsi="Arial" w:cs="Arial"/>
          <w:sz w:val="22"/>
          <w:szCs w:val="22"/>
          <w:lang w:val="es-ES_tradnl"/>
        </w:rPr>
        <w:tab/>
        <w:t>Conferencia de las Partes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FAO</w:t>
      </w:r>
      <w:r w:rsidRPr="008F33E8">
        <w:rPr>
          <w:rFonts w:ascii="Arial" w:hAnsi="Arial" w:cs="Arial"/>
          <w:sz w:val="22"/>
          <w:szCs w:val="22"/>
          <w:lang w:val="es-ES_tradnl"/>
        </w:rPr>
        <w:tab/>
      </w:r>
      <w:r w:rsidRPr="008F33E8">
        <w:rPr>
          <w:rFonts w:ascii="Arial" w:hAnsi="Arial" w:cs="Arial"/>
          <w:sz w:val="22"/>
          <w:szCs w:val="22"/>
          <w:lang w:val="es-ES_tradnl"/>
        </w:rPr>
        <w:tab/>
        <w:t>Organización de Pesca y Agricultura</w:t>
      </w:r>
    </w:p>
    <w:p w:rsidR="008F33E8" w:rsidRPr="008F33E8" w:rsidRDefault="008F33E8" w:rsidP="008F33E8">
      <w:pPr>
        <w:jc w:val="both"/>
        <w:rPr>
          <w:rFonts w:ascii="Arial" w:hAnsi="Arial" w:cs="Arial"/>
          <w:sz w:val="22"/>
          <w:szCs w:val="22"/>
          <w:lang w:val="es-ES_tradnl"/>
        </w:rPr>
      </w:pPr>
      <w:proofErr w:type="spellStart"/>
      <w:r w:rsidRPr="008F33E8">
        <w:rPr>
          <w:rFonts w:ascii="Arial" w:hAnsi="Arial" w:cs="Arial"/>
          <w:sz w:val="22"/>
          <w:szCs w:val="22"/>
          <w:lang w:val="es-ES_tradnl"/>
        </w:rPr>
        <w:t>MdE</w:t>
      </w:r>
      <w:proofErr w:type="spellEnd"/>
      <w:r w:rsidRPr="008F33E8">
        <w:rPr>
          <w:rFonts w:ascii="Arial" w:hAnsi="Arial" w:cs="Arial"/>
          <w:sz w:val="22"/>
          <w:szCs w:val="22"/>
          <w:lang w:val="es-ES_tradnl"/>
        </w:rPr>
        <w:tab/>
      </w:r>
      <w:r w:rsidRPr="008F33E8">
        <w:rPr>
          <w:rFonts w:ascii="Arial" w:hAnsi="Arial" w:cs="Arial"/>
          <w:sz w:val="22"/>
          <w:szCs w:val="22"/>
          <w:lang w:val="es-ES_tradnl"/>
        </w:rPr>
        <w:tab/>
        <w:t>Memorando de Entendimiento</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MOS</w:t>
      </w:r>
      <w:r w:rsidRPr="008F33E8">
        <w:rPr>
          <w:rFonts w:ascii="Arial" w:hAnsi="Arial" w:cs="Arial"/>
          <w:sz w:val="22"/>
          <w:szCs w:val="22"/>
          <w:lang w:val="es-ES_tradnl"/>
        </w:rPr>
        <w:tab/>
      </w:r>
      <w:r w:rsidRPr="008F33E8">
        <w:rPr>
          <w:rFonts w:ascii="Arial" w:hAnsi="Arial" w:cs="Arial"/>
          <w:sz w:val="22"/>
          <w:szCs w:val="22"/>
          <w:lang w:val="es-ES_tradnl"/>
        </w:rPr>
        <w:tab/>
        <w:t>Reunión de los Signatarios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ODS</w:t>
      </w:r>
      <w:r w:rsidRPr="008F33E8">
        <w:rPr>
          <w:rFonts w:ascii="Arial" w:hAnsi="Arial" w:cs="Arial"/>
          <w:sz w:val="22"/>
          <w:szCs w:val="22"/>
          <w:lang w:val="es-ES_tradnl"/>
        </w:rPr>
        <w:tab/>
      </w:r>
      <w:r w:rsidRPr="008F33E8">
        <w:rPr>
          <w:rFonts w:ascii="Arial" w:hAnsi="Arial" w:cs="Arial"/>
          <w:sz w:val="22"/>
          <w:szCs w:val="22"/>
          <w:lang w:val="es-ES_tradnl"/>
        </w:rPr>
        <w:tab/>
        <w:t>Objetivos de Desarrollo Sostenible</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ONG</w:t>
      </w:r>
      <w:r w:rsidRPr="008F33E8">
        <w:rPr>
          <w:rFonts w:ascii="Arial" w:hAnsi="Arial" w:cs="Arial"/>
          <w:sz w:val="22"/>
          <w:szCs w:val="22"/>
          <w:lang w:val="es-ES_tradnl"/>
        </w:rPr>
        <w:tab/>
      </w:r>
      <w:r w:rsidRPr="008F33E8">
        <w:rPr>
          <w:rFonts w:ascii="Arial" w:hAnsi="Arial" w:cs="Arial"/>
          <w:sz w:val="22"/>
          <w:szCs w:val="22"/>
          <w:lang w:val="es-ES_tradnl"/>
        </w:rPr>
        <w:tab/>
        <w:t>Organización No Gubernamental</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ONU</w:t>
      </w:r>
      <w:r w:rsidRPr="008F33E8">
        <w:rPr>
          <w:rFonts w:ascii="Arial" w:hAnsi="Arial" w:cs="Arial"/>
          <w:sz w:val="22"/>
          <w:szCs w:val="22"/>
          <w:lang w:val="es-ES_tradnl"/>
        </w:rPr>
        <w:tab/>
      </w:r>
      <w:r w:rsidRPr="008F33E8">
        <w:rPr>
          <w:rFonts w:ascii="Arial" w:hAnsi="Arial" w:cs="Arial"/>
          <w:sz w:val="22"/>
          <w:szCs w:val="22"/>
          <w:lang w:val="es-ES_tradnl"/>
        </w:rPr>
        <w:tab/>
        <w:t>Organización de las Naciones Unidas</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OROP</w:t>
      </w:r>
      <w:r w:rsidRPr="008F33E8">
        <w:rPr>
          <w:rFonts w:ascii="Arial" w:hAnsi="Arial" w:cs="Arial"/>
          <w:sz w:val="22"/>
          <w:szCs w:val="22"/>
          <w:lang w:val="es-ES_tradnl"/>
        </w:rPr>
        <w:tab/>
      </w:r>
      <w:r w:rsidRPr="008F33E8">
        <w:rPr>
          <w:rFonts w:ascii="Arial" w:hAnsi="Arial" w:cs="Arial"/>
          <w:sz w:val="22"/>
          <w:szCs w:val="22"/>
          <w:lang w:val="es-ES_tradnl"/>
        </w:rPr>
        <w:tab/>
        <w:t>Organización Regional de Ordenación Pesquera</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ORP</w:t>
      </w:r>
      <w:r w:rsidRPr="008F33E8">
        <w:rPr>
          <w:rFonts w:ascii="Arial" w:hAnsi="Arial" w:cs="Arial"/>
          <w:sz w:val="22"/>
          <w:szCs w:val="22"/>
          <w:lang w:val="es-ES_tradnl"/>
        </w:rPr>
        <w:tab/>
      </w:r>
      <w:r w:rsidRPr="008F33E8">
        <w:rPr>
          <w:rFonts w:ascii="Arial" w:hAnsi="Arial" w:cs="Arial"/>
          <w:sz w:val="22"/>
          <w:szCs w:val="22"/>
          <w:lang w:val="es-ES_tradnl"/>
        </w:rPr>
        <w:tab/>
        <w:t>Órgano Regional de Pesca</w:t>
      </w:r>
    </w:p>
    <w:p w:rsidR="008F33E8" w:rsidRPr="008F33E8" w:rsidRDefault="008F33E8" w:rsidP="008F33E8">
      <w:pPr>
        <w:jc w:val="both"/>
        <w:rPr>
          <w:rFonts w:ascii="Arial" w:hAnsi="Arial" w:cs="Arial"/>
          <w:sz w:val="22"/>
          <w:szCs w:val="22"/>
          <w:lang w:val="es-ES_tradnl"/>
        </w:rPr>
      </w:pPr>
      <w:r w:rsidRPr="008F33E8">
        <w:rPr>
          <w:rFonts w:ascii="Arial" w:hAnsi="Arial" w:cs="Arial"/>
          <w:sz w:val="22"/>
          <w:szCs w:val="22"/>
          <w:lang w:val="es-ES_tradnl"/>
        </w:rPr>
        <w:t>PFN</w:t>
      </w:r>
      <w:r w:rsidRPr="008F33E8">
        <w:rPr>
          <w:rFonts w:ascii="Arial" w:hAnsi="Arial" w:cs="Arial"/>
          <w:sz w:val="22"/>
          <w:szCs w:val="22"/>
          <w:lang w:val="es-ES_tradnl"/>
        </w:rPr>
        <w:tab/>
      </w:r>
      <w:r w:rsidRPr="008F33E8">
        <w:rPr>
          <w:rFonts w:ascii="Arial" w:hAnsi="Arial" w:cs="Arial"/>
          <w:sz w:val="22"/>
          <w:szCs w:val="22"/>
          <w:lang w:val="es-ES_tradnl"/>
        </w:rPr>
        <w:tab/>
        <w:t>Punto Focal Nacional</w:t>
      </w:r>
    </w:p>
    <w:p w:rsidR="008F33E8" w:rsidRPr="008F33E8" w:rsidRDefault="008F33E8" w:rsidP="008F33E8">
      <w:pPr>
        <w:ind w:left="1418" w:hanging="1418"/>
        <w:jc w:val="both"/>
        <w:rPr>
          <w:rFonts w:ascii="Arial" w:hAnsi="Arial" w:cs="Arial"/>
          <w:sz w:val="22"/>
          <w:szCs w:val="22"/>
          <w:lang w:val="es-ES_tradnl"/>
        </w:rPr>
      </w:pPr>
      <w:r w:rsidRPr="008F33E8">
        <w:rPr>
          <w:rFonts w:ascii="Arial" w:hAnsi="Arial" w:cs="Arial"/>
          <w:sz w:val="22"/>
          <w:szCs w:val="22"/>
          <w:lang w:val="es-ES_tradnl"/>
        </w:rPr>
        <w:t>PNUMA</w:t>
      </w:r>
      <w:r w:rsidRPr="008F33E8">
        <w:rPr>
          <w:rFonts w:ascii="Arial" w:hAnsi="Arial" w:cs="Arial"/>
          <w:sz w:val="22"/>
          <w:szCs w:val="22"/>
          <w:lang w:val="es-ES_tradnl"/>
        </w:rPr>
        <w:tab/>
        <w:t>Programa de las Naciones Unidas para el Medio Ambiente (ONU Medio Ambiente)</w:t>
      </w:r>
    </w:p>
    <w:sectPr w:rsidR="008F33E8" w:rsidRPr="008F33E8" w:rsidSect="00766125">
      <w:headerReference w:type="even" r:id="rId14"/>
      <w:headerReference w:type="default" r:id="rId15"/>
      <w:footerReference w:type="even" r:id="rId16"/>
      <w:footerReference w:type="default" r:id="rId17"/>
      <w:headerReference w:type="first" r:id="rId18"/>
      <w:pgSz w:w="12240" w:h="15840"/>
      <w:pgMar w:top="1411" w:right="1350" w:bottom="1411"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337" w:rsidRDefault="001F0337" w:rsidP="00766125">
      <w:r>
        <w:separator/>
      </w:r>
    </w:p>
  </w:endnote>
  <w:endnote w:type="continuationSeparator" w:id="0">
    <w:p w:rsidR="001F0337" w:rsidRDefault="001F0337" w:rsidP="007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679459421"/>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2</w:t>
        </w:r>
        <w:r w:rsidRPr="0076612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45498150"/>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3</w:t>
        </w:r>
        <w:r w:rsidRPr="0076612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337" w:rsidRDefault="001F0337" w:rsidP="00766125">
      <w:r>
        <w:separator/>
      </w:r>
    </w:p>
  </w:footnote>
  <w:footnote w:type="continuationSeparator" w:id="0">
    <w:p w:rsidR="001F0337" w:rsidRDefault="001F0337" w:rsidP="00766125">
      <w:r>
        <w:continuationSeparator/>
      </w:r>
    </w:p>
  </w:footnote>
  <w:footnote w:id="1">
    <w:p w:rsidR="008F33E8" w:rsidRPr="00A25A7C" w:rsidRDefault="008F33E8" w:rsidP="008F33E8">
      <w:pPr>
        <w:pStyle w:val="FootnoteText"/>
        <w:ind w:left="180" w:hanging="180"/>
        <w:jc w:val="both"/>
        <w:rPr>
          <w:sz w:val="18"/>
          <w:szCs w:val="18"/>
        </w:rPr>
      </w:pPr>
      <w:r w:rsidRPr="00A25A7C">
        <w:rPr>
          <w:rStyle w:val="FootnoteReference"/>
        </w:rPr>
        <w:footnoteRef/>
      </w:r>
      <w:r w:rsidRPr="00A25A7C">
        <w:t xml:space="preserve"> </w:t>
      </w:r>
      <w:proofErr w:type="spellStart"/>
      <w:r w:rsidRPr="00A25A7C">
        <w:rPr>
          <w:sz w:val="18"/>
          <w:szCs w:val="18"/>
        </w:rPr>
        <w:t>Dulvy</w:t>
      </w:r>
      <w:proofErr w:type="spellEnd"/>
      <w:r w:rsidRPr="00A25A7C">
        <w:rPr>
          <w:sz w:val="18"/>
          <w:szCs w:val="18"/>
        </w:rPr>
        <w:t xml:space="preserve"> et al. 2014. Extinction risk and conservation of the world’s sharks and rays. </w:t>
      </w:r>
      <w:proofErr w:type="spellStart"/>
      <w:r w:rsidRPr="00A25A7C">
        <w:rPr>
          <w:sz w:val="18"/>
          <w:szCs w:val="18"/>
        </w:rPr>
        <w:t>eLife</w:t>
      </w:r>
      <w:proofErr w:type="spellEnd"/>
      <w:r w:rsidRPr="00A25A7C">
        <w:rPr>
          <w:sz w:val="18"/>
          <w:szCs w:val="18"/>
        </w:rPr>
        <w:t xml:space="preserve"> 2014; </w:t>
      </w:r>
      <w:proofErr w:type="gramStart"/>
      <w:r w:rsidRPr="00A25A7C">
        <w:rPr>
          <w:sz w:val="18"/>
          <w:szCs w:val="18"/>
        </w:rPr>
        <w:t>3:e</w:t>
      </w:r>
      <w:proofErr w:type="gramEnd"/>
      <w:r w:rsidRPr="00A25A7C">
        <w:rPr>
          <w:sz w:val="18"/>
          <w:szCs w:val="18"/>
        </w:rPr>
        <w:t>00590 DOI: 10.7554/eLife.00590</w:t>
      </w:r>
    </w:p>
  </w:footnote>
  <w:footnote w:id="2">
    <w:p w:rsidR="008F33E8" w:rsidRPr="00683B43" w:rsidRDefault="008F33E8" w:rsidP="008F33E8">
      <w:pPr>
        <w:pStyle w:val="FootnoteText"/>
        <w:ind w:left="180" w:hanging="180"/>
        <w:jc w:val="both"/>
        <w:rPr>
          <w:sz w:val="18"/>
          <w:szCs w:val="18"/>
          <w:lang w:val="es-ES_tradnl"/>
        </w:rPr>
      </w:pPr>
      <w:r w:rsidRPr="00A25A7C">
        <w:rPr>
          <w:rStyle w:val="FootnoteReference"/>
        </w:rPr>
        <w:footnoteRef/>
      </w:r>
      <w:r w:rsidRPr="00BA6332">
        <w:rPr>
          <w:lang w:val="es-ES"/>
        </w:rPr>
        <w:t xml:space="preserve">  </w:t>
      </w:r>
      <w:r w:rsidRPr="00BA6332">
        <w:rPr>
          <w:b/>
          <w:sz w:val="18"/>
          <w:szCs w:val="18"/>
          <w:lang w:val="es-ES"/>
        </w:rPr>
        <w:t>Meta de Aichi 6</w:t>
      </w:r>
      <w:r w:rsidRPr="00BA6332">
        <w:rPr>
          <w:sz w:val="18"/>
          <w:szCs w:val="18"/>
          <w:lang w:val="es-ES"/>
        </w:rPr>
        <w:t xml:space="preserve">: </w:t>
      </w:r>
      <w:r w:rsidRPr="00A25A7C">
        <w:rPr>
          <w:sz w:val="18"/>
          <w:szCs w:val="18"/>
          <w:lang w:val="es-ES_tradnl"/>
        </w:rPr>
        <w:t>Para 2020</w:t>
      </w:r>
      <w:r w:rsidRPr="00EC2690">
        <w:rPr>
          <w:sz w:val="18"/>
          <w:szCs w:val="18"/>
          <w:lang w:val="es-ES_tradnl"/>
        </w:rPr>
        <w:t>, todas las poblaciones</w:t>
      </w:r>
      <w:r>
        <w:rPr>
          <w:sz w:val="18"/>
          <w:szCs w:val="18"/>
          <w:lang w:val="es-ES_tradnl"/>
        </w:rPr>
        <w:t xml:space="preserve"> de peces e invertebrados y </w:t>
      </w:r>
      <w:r w:rsidRPr="00EC2690">
        <w:rPr>
          <w:sz w:val="18"/>
          <w:szCs w:val="18"/>
          <w:lang w:val="es-ES_tradnl"/>
        </w:rPr>
        <w:t xml:space="preserve">plantas acuáticas se gestionarán y </w:t>
      </w:r>
      <w:r w:rsidRPr="00683B43">
        <w:rPr>
          <w:sz w:val="18"/>
          <w:szCs w:val="18"/>
          <w:lang w:val="es-ES_tradnl"/>
        </w:rPr>
        <w:t xml:space="preserve">explotarán de forma sostenible, legal y aplicando estrategias basadas en el ecosistema, de modo que se evite la sobrepesca, se establezcan planes y medidas de recuperación para todas las especies agotadas, las pesquerías no tengan efectos adversos significativos sobre las especies amenazadas y los ecosistemas vulnerables, y los efectos de las pesquerías sobre las poblaciones, las especies y los ecosistemas se encuentren dentro de unos límites ecológicos seguros; </w:t>
      </w:r>
      <w:r w:rsidRPr="00683B43">
        <w:rPr>
          <w:b/>
          <w:sz w:val="18"/>
          <w:szCs w:val="18"/>
          <w:lang w:val="es-ES_tradnl"/>
        </w:rPr>
        <w:t>ODS 12</w:t>
      </w:r>
      <w:r w:rsidRPr="00683B43">
        <w:rPr>
          <w:sz w:val="18"/>
          <w:szCs w:val="18"/>
          <w:lang w:val="es-ES_tradnl"/>
        </w:rPr>
        <w:t xml:space="preserve">: Consumo y producción responsables - Asegurar patrones de consumo y producción sostenibles; </w:t>
      </w:r>
      <w:r w:rsidRPr="00683B43">
        <w:rPr>
          <w:b/>
          <w:sz w:val="18"/>
          <w:szCs w:val="18"/>
          <w:lang w:val="es-ES_tradnl"/>
        </w:rPr>
        <w:t>ODS14</w:t>
      </w:r>
      <w:r w:rsidRPr="00683B43">
        <w:rPr>
          <w:sz w:val="18"/>
          <w:szCs w:val="18"/>
          <w:lang w:val="es-ES_tradnl"/>
        </w:rPr>
        <w:t>: Vida bajo el agua - Conservar y utilizar de manera sostenible los océanos, los mares y los recursos marinos para el desarrollo sostenible.</w:t>
      </w:r>
    </w:p>
  </w:footnote>
  <w:footnote w:id="3">
    <w:p w:rsidR="008F33E8" w:rsidRPr="00683B43" w:rsidRDefault="008F33E8" w:rsidP="008F33E8">
      <w:pPr>
        <w:pStyle w:val="FootnoteText"/>
        <w:ind w:left="180" w:hanging="180"/>
        <w:jc w:val="both"/>
        <w:rPr>
          <w:sz w:val="18"/>
          <w:szCs w:val="18"/>
          <w:lang w:val="es-ES_tradnl"/>
        </w:rPr>
      </w:pPr>
      <w:r w:rsidRPr="00550676">
        <w:rPr>
          <w:rStyle w:val="FootnoteReference"/>
          <w:lang w:val="es-ES_tradnl"/>
        </w:rPr>
        <w:footnoteRef/>
      </w:r>
      <w:r w:rsidRPr="00550676">
        <w:rPr>
          <w:lang w:val="es-ES_tradnl"/>
        </w:rPr>
        <w:t xml:space="preserve"> </w:t>
      </w:r>
      <w:r w:rsidRPr="00683B43">
        <w:rPr>
          <w:sz w:val="18"/>
          <w:szCs w:val="18"/>
          <w:lang w:val="es-ES_tradnl"/>
        </w:rPr>
        <w:t xml:space="preserve"> Los "tiburones" están definidos en el </w:t>
      </w:r>
      <w:proofErr w:type="spellStart"/>
      <w:r w:rsidRPr="00683B43">
        <w:rPr>
          <w:sz w:val="18"/>
          <w:szCs w:val="18"/>
          <w:lang w:val="es-ES_tradnl"/>
        </w:rPr>
        <w:t>MdE</w:t>
      </w:r>
      <w:proofErr w:type="spellEnd"/>
      <w:r w:rsidRPr="00683B43">
        <w:rPr>
          <w:sz w:val="18"/>
          <w:szCs w:val="18"/>
          <w:lang w:val="es-ES_tradnl"/>
        </w:rPr>
        <w:t xml:space="preserve"> sobre Tiburones como todas las especies de </w:t>
      </w:r>
      <w:proofErr w:type="spellStart"/>
      <w:r w:rsidRPr="00683B43">
        <w:rPr>
          <w:sz w:val="18"/>
          <w:szCs w:val="18"/>
          <w:lang w:val="es-ES_tradnl"/>
        </w:rPr>
        <w:t>condrictios</w:t>
      </w:r>
      <w:proofErr w:type="spellEnd"/>
      <w:r w:rsidRPr="00683B43">
        <w:rPr>
          <w:sz w:val="18"/>
          <w:szCs w:val="18"/>
          <w:lang w:val="es-ES_tradnl"/>
        </w:rPr>
        <w:t>, que incluyen tiburones, rayas y quimeras.</w:t>
      </w:r>
    </w:p>
  </w:footnote>
  <w:footnote w:id="4">
    <w:p w:rsidR="008F33E8" w:rsidRPr="00683B43" w:rsidRDefault="008F33E8" w:rsidP="008F33E8">
      <w:pPr>
        <w:pStyle w:val="FootnoteText"/>
        <w:ind w:left="180" w:hanging="180"/>
        <w:jc w:val="both"/>
        <w:rPr>
          <w:sz w:val="18"/>
          <w:szCs w:val="18"/>
          <w:lang w:val="es-ES_tradnl"/>
        </w:rPr>
      </w:pPr>
      <w:r w:rsidRPr="00550676">
        <w:rPr>
          <w:rStyle w:val="FootnoteReference"/>
          <w:lang w:val="es-ES_tradnl"/>
        </w:rPr>
        <w:footnoteRef/>
      </w:r>
      <w:r w:rsidRPr="00683B43">
        <w:rPr>
          <w:sz w:val="18"/>
          <w:szCs w:val="18"/>
          <w:lang w:val="es-ES_tradnl"/>
        </w:rPr>
        <w:t xml:space="preserve">  cualquier estado que ejerza jurisdicción sobre cualquier parte del área de distribución de los tiburones migratorios, o un estado cuyos buques de pabellón se dediquen fuera de sus límites de jurisdicción nacional a capturar, o que tengan el potencial de capturar, tiburones migratorios.</w:t>
      </w:r>
    </w:p>
  </w:footnote>
  <w:footnote w:id="5">
    <w:p w:rsidR="008F33E8" w:rsidRPr="001B45BD" w:rsidRDefault="008F33E8" w:rsidP="008F33E8">
      <w:pPr>
        <w:pStyle w:val="FootnoteText"/>
        <w:ind w:left="180" w:hanging="180"/>
        <w:jc w:val="both"/>
        <w:rPr>
          <w:sz w:val="18"/>
          <w:szCs w:val="18"/>
          <w:lang w:val="es-ES_tradnl"/>
        </w:rPr>
      </w:pPr>
      <w:r w:rsidRPr="00550676">
        <w:rPr>
          <w:rStyle w:val="FootnoteReference"/>
          <w:lang w:val="es-ES_tradnl"/>
        </w:rPr>
        <w:footnoteRef/>
      </w:r>
      <w:r w:rsidRPr="00550676">
        <w:rPr>
          <w:lang w:val="es-ES_tradnl"/>
        </w:rPr>
        <w:t xml:space="preserve"> </w:t>
      </w:r>
      <w:r w:rsidRPr="00683B43">
        <w:rPr>
          <w:sz w:val="18"/>
          <w:szCs w:val="18"/>
          <w:lang w:val="es-ES_tradnl"/>
        </w:rPr>
        <w:t>un</w:t>
      </w:r>
      <w:r>
        <w:rPr>
          <w:sz w:val="18"/>
          <w:szCs w:val="18"/>
          <w:lang w:val="es-ES_tradnl"/>
        </w:rPr>
        <w:t>a organización constituida por e</w:t>
      </w:r>
      <w:r w:rsidRPr="00683B43">
        <w:rPr>
          <w:sz w:val="18"/>
          <w:szCs w:val="18"/>
          <w:lang w:val="es-ES_tradnl"/>
        </w:rPr>
        <w:t>stados soberanos de una región determinada que tenga competencia en los asuntos regidos por el presente Memorando de Entendimiento y que haya sido debidamente autorizada, de conformidad con sus procedimientos internos, a firmar el presente Memorando de Entendimiento.</w:t>
      </w:r>
    </w:p>
  </w:footnote>
  <w:footnote w:id="6">
    <w:p w:rsidR="008F33E8" w:rsidRPr="009141FD" w:rsidRDefault="008F33E8" w:rsidP="008F33E8">
      <w:pPr>
        <w:pStyle w:val="FootnoteText"/>
        <w:ind w:left="180" w:hanging="180"/>
        <w:jc w:val="both"/>
        <w:rPr>
          <w:lang w:val="es-ES_tradnl"/>
        </w:rPr>
      </w:pPr>
      <w:r w:rsidRPr="00AC6146">
        <w:rPr>
          <w:rStyle w:val="FootnoteReference"/>
          <w:lang w:val="es-ES_tradnl"/>
        </w:rPr>
        <w:footnoteRef/>
      </w:r>
      <w:r w:rsidRPr="00AC6146">
        <w:rPr>
          <w:lang w:val="es-ES_tradnl"/>
        </w:rPr>
        <w:t xml:space="preserve"> </w:t>
      </w:r>
      <w:r w:rsidRPr="00AC6146">
        <w:rPr>
          <w:sz w:val="18"/>
          <w:szCs w:val="18"/>
          <w:lang w:val="es-ES_tradnl"/>
        </w:rPr>
        <w:t xml:space="preserve">El Programa de las Naciones Unidas para el Medio Ambiente cambió recientemente su nombre abreviado de PNUMA a </w:t>
      </w:r>
      <w:r>
        <w:rPr>
          <w:sz w:val="18"/>
          <w:szCs w:val="18"/>
          <w:lang w:val="es-ES_tradnl"/>
        </w:rPr>
        <w:t xml:space="preserve">ONU </w:t>
      </w:r>
      <w:r w:rsidRPr="00AC6146">
        <w:rPr>
          <w:sz w:val="18"/>
          <w:szCs w:val="18"/>
          <w:lang w:val="es-ES_tradnl"/>
        </w:rPr>
        <w:t xml:space="preserve">Medio Ambiente. </w:t>
      </w:r>
      <w:r>
        <w:rPr>
          <w:sz w:val="18"/>
          <w:szCs w:val="18"/>
          <w:lang w:val="es-ES_tradnl"/>
        </w:rPr>
        <w:t>No obstante</w:t>
      </w:r>
      <w:r w:rsidRPr="00AC6146">
        <w:rPr>
          <w:sz w:val="18"/>
          <w:szCs w:val="18"/>
          <w:lang w:val="es-ES_tradnl"/>
        </w:rPr>
        <w:t xml:space="preserve">, aún </w:t>
      </w:r>
      <w:r>
        <w:rPr>
          <w:sz w:val="18"/>
          <w:szCs w:val="18"/>
          <w:lang w:val="es-ES_tradnl"/>
        </w:rPr>
        <w:t xml:space="preserve">se continúa discutiendo al respecto. </w:t>
      </w:r>
      <w:r w:rsidRPr="00AC6146">
        <w:rPr>
          <w:sz w:val="18"/>
          <w:szCs w:val="18"/>
          <w:lang w:val="es-ES_tradnl"/>
        </w:rPr>
        <w:t xml:space="preserve">En este documento utilizaremos </w:t>
      </w:r>
      <w:r>
        <w:rPr>
          <w:sz w:val="18"/>
          <w:szCs w:val="18"/>
          <w:lang w:val="es-ES_tradnl"/>
        </w:rPr>
        <w:t>ONU</w:t>
      </w:r>
      <w:r w:rsidRPr="00AC6146">
        <w:rPr>
          <w:sz w:val="18"/>
          <w:szCs w:val="18"/>
          <w:lang w:val="es-ES_tradnl"/>
        </w:rPr>
        <w:t xml:space="preserve"> </w:t>
      </w:r>
      <w:r>
        <w:rPr>
          <w:sz w:val="18"/>
          <w:szCs w:val="18"/>
          <w:lang w:val="es-ES_tradnl"/>
        </w:rPr>
        <w:t>Medio A</w:t>
      </w:r>
      <w:r w:rsidRPr="00AC6146">
        <w:rPr>
          <w:sz w:val="18"/>
          <w:szCs w:val="18"/>
          <w:lang w:val="es-ES_tradnl"/>
        </w:rPr>
        <w:t>mbiente.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F5C" w:rsidRPr="001B1F5C" w:rsidRDefault="001B1F5C" w:rsidP="001B1F5C">
    <w:pPr>
      <w:pBdr>
        <w:bottom w:val="single" w:sz="4" w:space="1" w:color="auto"/>
      </w:pBdr>
      <w:spacing w:before="40" w:after="40"/>
      <w:jc w:val="both"/>
      <w:rPr>
        <w:rFonts w:ascii="Arial" w:hAnsi="Arial" w:cs="Arial"/>
        <w:i/>
        <w:sz w:val="18"/>
        <w:szCs w:val="18"/>
        <w:lang w:val="fr-FR"/>
      </w:rPr>
    </w:pPr>
    <w:r w:rsidRPr="001B1F5C">
      <w:rPr>
        <w:rFonts w:ascii="Arial" w:hAnsi="Arial" w:cs="Arial"/>
        <w:i/>
        <w:sz w:val="18"/>
        <w:szCs w:val="18"/>
        <w:lang w:val="fr-FR"/>
      </w:rPr>
      <w:t>CMS/</w:t>
    </w:r>
    <w:proofErr w:type="spellStart"/>
    <w:r w:rsidRPr="001B1F5C">
      <w:rPr>
        <w:rFonts w:ascii="Arial" w:hAnsi="Arial" w:cs="Arial"/>
        <w:i/>
        <w:sz w:val="18"/>
        <w:szCs w:val="18"/>
        <w:lang w:val="fr-FR"/>
      </w:rPr>
      <w:t>Sharks</w:t>
    </w:r>
    <w:proofErr w:type="spellEnd"/>
    <w:r w:rsidRPr="001B1F5C">
      <w:rPr>
        <w:rFonts w:ascii="Arial" w:hAnsi="Arial" w:cs="Arial"/>
        <w:i/>
        <w:sz w:val="18"/>
        <w:szCs w:val="18"/>
        <w:lang w:val="fr-FR"/>
      </w:rPr>
      <w:t>/MOS3/CRP6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F5C" w:rsidRPr="001B1F5C" w:rsidRDefault="001B1F5C" w:rsidP="001B1F5C">
    <w:pPr>
      <w:pBdr>
        <w:bottom w:val="single" w:sz="4" w:space="1" w:color="auto"/>
      </w:pBdr>
      <w:spacing w:before="40" w:after="40"/>
      <w:jc w:val="right"/>
      <w:rPr>
        <w:rFonts w:ascii="Arial" w:hAnsi="Arial" w:cs="Arial"/>
        <w:i/>
        <w:sz w:val="18"/>
        <w:szCs w:val="18"/>
        <w:lang w:val="fr-FR"/>
      </w:rPr>
    </w:pPr>
    <w:r w:rsidRPr="001B1F5C">
      <w:rPr>
        <w:rFonts w:ascii="Arial" w:hAnsi="Arial" w:cs="Arial"/>
        <w:i/>
        <w:sz w:val="18"/>
        <w:szCs w:val="18"/>
        <w:lang w:val="fr-FR"/>
      </w:rPr>
      <w:t>CMS/</w:t>
    </w:r>
    <w:proofErr w:type="spellStart"/>
    <w:r w:rsidRPr="001B1F5C">
      <w:rPr>
        <w:rFonts w:ascii="Arial" w:hAnsi="Arial" w:cs="Arial"/>
        <w:i/>
        <w:sz w:val="18"/>
        <w:szCs w:val="18"/>
        <w:lang w:val="fr-FR"/>
      </w:rPr>
      <w:t>Sharks</w:t>
    </w:r>
    <w:proofErr w:type="spellEnd"/>
    <w:r w:rsidRPr="001B1F5C">
      <w:rPr>
        <w:rFonts w:ascii="Arial" w:hAnsi="Arial" w:cs="Arial"/>
        <w:i/>
        <w:sz w:val="18"/>
        <w:szCs w:val="18"/>
        <w:lang w:val="fr-FR"/>
      </w:rPr>
      <w:t>/MOS3/CRP6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14C" w:rsidRDefault="00FC614C" w:rsidP="00F9613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26F"/>
    <w:multiLevelType w:val="hybridMultilevel"/>
    <w:tmpl w:val="E1B6A04C"/>
    <w:lvl w:ilvl="0" w:tplc="1F68422A">
      <w:start w:val="1"/>
      <w:numFmt w:val="upperLetter"/>
      <w:lvlText w:val="%1)"/>
      <w:lvlJc w:val="left"/>
      <w:pPr>
        <w:ind w:left="720" w:hanging="360"/>
      </w:pPr>
      <w:rPr>
        <w:rFonts w:hint="default"/>
        <w:color w:val="538135"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E73"/>
    <w:multiLevelType w:val="hybridMultilevel"/>
    <w:tmpl w:val="EE248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635F"/>
    <w:multiLevelType w:val="hybridMultilevel"/>
    <w:tmpl w:val="16529D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006BD"/>
    <w:multiLevelType w:val="hybridMultilevel"/>
    <w:tmpl w:val="606EB2EA"/>
    <w:lvl w:ilvl="0" w:tplc="04090017">
      <w:start w:val="1"/>
      <w:numFmt w:val="lowerLetter"/>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958C8"/>
    <w:multiLevelType w:val="hybridMultilevel"/>
    <w:tmpl w:val="152E09E6"/>
    <w:lvl w:ilvl="0" w:tplc="2AEE71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C1DE9"/>
    <w:multiLevelType w:val="hybridMultilevel"/>
    <w:tmpl w:val="3D263E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FB5253"/>
    <w:multiLevelType w:val="hybridMultilevel"/>
    <w:tmpl w:val="AE880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E063F"/>
    <w:multiLevelType w:val="hybridMultilevel"/>
    <w:tmpl w:val="7DC0C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772DA"/>
    <w:multiLevelType w:val="hybridMultilevel"/>
    <w:tmpl w:val="CE16A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14436"/>
    <w:multiLevelType w:val="hybridMultilevel"/>
    <w:tmpl w:val="3508C15C"/>
    <w:lvl w:ilvl="0" w:tplc="0DF82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2"/>
  </w:num>
  <w:num w:numId="3">
    <w:abstractNumId w:val="4"/>
  </w:num>
  <w:num w:numId="4">
    <w:abstractNumId w:val="10"/>
  </w:num>
  <w:num w:numId="5">
    <w:abstractNumId w:val="6"/>
  </w:num>
  <w:num w:numId="6">
    <w:abstractNumId w:val="5"/>
  </w:num>
  <w:num w:numId="7">
    <w:abstractNumId w:val="2"/>
  </w:num>
  <w:num w:numId="8">
    <w:abstractNumId w:val="8"/>
  </w:num>
  <w:num w:numId="9">
    <w:abstractNumId w:val="11"/>
  </w:num>
  <w:num w:numId="10">
    <w:abstractNumId w:val="1"/>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4"/>
    <w:rsid w:val="000108E2"/>
    <w:rsid w:val="001B1F5C"/>
    <w:rsid w:val="001F0337"/>
    <w:rsid w:val="003A191D"/>
    <w:rsid w:val="003B0EE6"/>
    <w:rsid w:val="003F19C8"/>
    <w:rsid w:val="00510049"/>
    <w:rsid w:val="005A7C90"/>
    <w:rsid w:val="005E5F1C"/>
    <w:rsid w:val="0061372A"/>
    <w:rsid w:val="006E6D52"/>
    <w:rsid w:val="00724BC5"/>
    <w:rsid w:val="00745C0B"/>
    <w:rsid w:val="007631D7"/>
    <w:rsid w:val="00766125"/>
    <w:rsid w:val="008A2B1C"/>
    <w:rsid w:val="008C7604"/>
    <w:rsid w:val="008F33E8"/>
    <w:rsid w:val="009A4757"/>
    <w:rsid w:val="009A5554"/>
    <w:rsid w:val="00B25614"/>
    <w:rsid w:val="00CB2DFD"/>
    <w:rsid w:val="00EF1D0A"/>
    <w:rsid w:val="00F73717"/>
    <w:rsid w:val="00FC614C"/>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866E3"/>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8F33E8"/>
    <w:pPr>
      <w:keepNext/>
      <w:keepLines/>
      <w:spacing w:before="240"/>
      <w:outlineLvl w:val="0"/>
    </w:pPr>
    <w:rPr>
      <w:rFonts w:ascii="Calibri Light" w:eastAsia="MS Gothic" w:hAnsi="Calibri Light"/>
      <w:color w:val="2F5496"/>
      <w:sz w:val="32"/>
      <w:szCs w:val="32"/>
    </w:rPr>
  </w:style>
  <w:style w:type="paragraph" w:styleId="Heading2">
    <w:name w:val="heading 2"/>
    <w:basedOn w:val="Normal"/>
    <w:next w:val="Normal"/>
    <w:link w:val="Heading2Char"/>
    <w:uiPriority w:val="9"/>
    <w:semiHidden/>
    <w:unhideWhenUsed/>
    <w:qFormat/>
    <w:rsid w:val="008F33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paragraph" w:styleId="Header">
    <w:name w:val="header"/>
    <w:basedOn w:val="Normal"/>
    <w:link w:val="HeaderChar"/>
    <w:uiPriority w:val="99"/>
    <w:unhideWhenUsed/>
    <w:rsid w:val="00766125"/>
    <w:pPr>
      <w:tabs>
        <w:tab w:val="center" w:pos="4680"/>
        <w:tab w:val="right" w:pos="9360"/>
      </w:tabs>
    </w:pPr>
  </w:style>
  <w:style w:type="character" w:customStyle="1" w:styleId="HeaderChar">
    <w:name w:val="Header Char"/>
    <w:basedOn w:val="DefaultParagraphFont"/>
    <w:link w:val="Header"/>
    <w:uiPriority w:val="99"/>
    <w:rsid w:val="0076612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6125"/>
    <w:pPr>
      <w:tabs>
        <w:tab w:val="center" w:pos="4680"/>
        <w:tab w:val="right" w:pos="9360"/>
      </w:tabs>
    </w:pPr>
  </w:style>
  <w:style w:type="character" w:customStyle="1" w:styleId="FooterChar">
    <w:name w:val="Footer Char"/>
    <w:basedOn w:val="DefaultParagraphFont"/>
    <w:link w:val="Footer"/>
    <w:uiPriority w:val="99"/>
    <w:rsid w:val="00766125"/>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semiHidden/>
    <w:rsid w:val="008F33E8"/>
    <w:rPr>
      <w:rFonts w:asciiTheme="majorHAnsi" w:eastAsiaTheme="majorEastAsia" w:hAnsiTheme="majorHAnsi" w:cstheme="majorBidi"/>
      <w:color w:val="2E74B5" w:themeColor="accent1" w:themeShade="BF"/>
      <w:sz w:val="26"/>
      <w:szCs w:val="26"/>
    </w:rPr>
  </w:style>
  <w:style w:type="paragraph" w:customStyle="1" w:styleId="Heading11">
    <w:name w:val="Heading 11"/>
    <w:basedOn w:val="Normal"/>
    <w:next w:val="Normal"/>
    <w:uiPriority w:val="9"/>
    <w:qFormat/>
    <w:rsid w:val="008F33E8"/>
    <w:pPr>
      <w:keepNext/>
      <w:keepLines/>
      <w:spacing w:before="240"/>
      <w:outlineLvl w:val="0"/>
    </w:pPr>
    <w:rPr>
      <w:rFonts w:ascii="Calibri Light" w:eastAsia="MS Gothic" w:hAnsi="Calibri Light"/>
      <w:color w:val="2F5496"/>
      <w:sz w:val="32"/>
      <w:szCs w:val="32"/>
    </w:rPr>
  </w:style>
  <w:style w:type="character" w:customStyle="1" w:styleId="Heading1Char">
    <w:name w:val="Heading 1 Char"/>
    <w:basedOn w:val="DefaultParagraphFont"/>
    <w:link w:val="Heading1"/>
    <w:uiPriority w:val="9"/>
    <w:rsid w:val="008F33E8"/>
    <w:rPr>
      <w:rFonts w:ascii="Calibri Light" w:eastAsia="MS Gothic" w:hAnsi="Calibri Light" w:cs="Times New Roman"/>
      <w:color w:val="2F5496"/>
      <w:sz w:val="32"/>
      <w:szCs w:val="32"/>
    </w:rPr>
  </w:style>
  <w:style w:type="table" w:customStyle="1" w:styleId="GridTable1Light1">
    <w:name w:val="Grid Table 1 Light1"/>
    <w:basedOn w:val="TableNormal"/>
    <w:uiPriority w:val="46"/>
    <w:rsid w:val="008F33E8"/>
    <w:pPr>
      <w:spacing w:after="0" w:line="240" w:lineRule="auto"/>
    </w:pPr>
    <w:rPr>
      <w:rFonts w:ascii="Trebuchet MS" w:hAnsi="Trebuchet MS" w:cs="Times New Roman"/>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8F33E8"/>
    <w:rPr>
      <w:rFonts w:ascii="Arial" w:hAnsi="Arial"/>
      <w:szCs w:val="20"/>
    </w:rPr>
  </w:style>
  <w:style w:type="character" w:customStyle="1" w:styleId="FootnoteTextChar">
    <w:name w:val="Footnote Text Char"/>
    <w:basedOn w:val="DefaultParagraphFont"/>
    <w:link w:val="FootnoteText"/>
    <w:uiPriority w:val="99"/>
    <w:semiHidden/>
    <w:rsid w:val="008F33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F33E8"/>
    <w:rPr>
      <w:vertAlign w:val="superscript"/>
    </w:rPr>
  </w:style>
  <w:style w:type="character" w:customStyle="1" w:styleId="Heading1Char1">
    <w:name w:val="Heading 1 Char1"/>
    <w:basedOn w:val="DefaultParagraphFont"/>
    <w:uiPriority w:val="9"/>
    <w:rsid w:val="008F33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8D76-02D2-4306-9531-98DE449E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Ximena Cancino</cp:lastModifiedBy>
  <cp:revision>2</cp:revision>
  <dcterms:created xsi:type="dcterms:W3CDTF">2018-12-12T22:14:00Z</dcterms:created>
  <dcterms:modified xsi:type="dcterms:W3CDTF">2018-12-12T22:14:00Z</dcterms:modified>
</cp:coreProperties>
</file>