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E7B0" w14:textId="77777777" w:rsidR="00D1449D" w:rsidRPr="006F6FCC" w:rsidRDefault="00D1449D" w:rsidP="00D1449D">
      <w:pPr>
        <w:ind w:left="1440" w:firstLine="720"/>
        <w:jc w:val="right"/>
        <w:rPr>
          <w:rFonts w:cs="Arial"/>
          <w:color w:val="1F3864" w:themeColor="accent1" w:themeShade="80"/>
          <w:sz w:val="36"/>
        </w:rPr>
      </w:pPr>
      <w:r w:rsidRPr="006F6FCC">
        <w:rPr>
          <w:rFonts w:cs="Arial"/>
          <w:color w:val="1F3864" w:themeColor="accent1" w:themeShade="80"/>
          <w:sz w:val="36"/>
        </w:rPr>
        <w:t>Memorandum of Understanding on</w:t>
      </w:r>
    </w:p>
    <w:p w14:paraId="6ED924B3" w14:textId="77777777" w:rsidR="00D1449D" w:rsidRPr="006F6FCC" w:rsidRDefault="00D1449D" w:rsidP="00D1449D">
      <w:pPr>
        <w:jc w:val="right"/>
        <w:rPr>
          <w:rFonts w:cs="Arial"/>
          <w:color w:val="1F3864" w:themeColor="accent1" w:themeShade="80"/>
          <w:sz w:val="36"/>
        </w:rPr>
      </w:pPr>
      <w:r w:rsidRPr="006F6FCC">
        <w:rPr>
          <w:rFonts w:cs="Arial"/>
          <w:color w:val="1F3864" w:themeColor="accent1" w:themeShade="80"/>
          <w:sz w:val="36"/>
        </w:rPr>
        <w:t>the Conservation of Migratory Sharks</w:t>
      </w:r>
    </w:p>
    <w:p w14:paraId="1B61D819" w14:textId="77777777" w:rsidR="00D1449D" w:rsidRPr="006F6FCC" w:rsidRDefault="00D1449D" w:rsidP="00D1449D">
      <w:pPr>
        <w:jc w:val="right"/>
        <w:rPr>
          <w:rFonts w:cs="Arial"/>
          <w:color w:val="1F3864" w:themeColor="accent1" w:themeShade="80"/>
          <w:sz w:val="36"/>
        </w:rPr>
      </w:pPr>
    </w:p>
    <w:p w14:paraId="13ABEE4F" w14:textId="77777777" w:rsidR="00D1449D" w:rsidRPr="006F6FCC" w:rsidRDefault="00D1449D" w:rsidP="00D1449D">
      <w:pPr>
        <w:spacing w:after="160"/>
        <w:ind w:firstLine="720"/>
        <w:jc w:val="right"/>
        <w:rPr>
          <w:rFonts w:cs="Arial"/>
          <w:b/>
          <w:color w:val="1F3864" w:themeColor="accent1" w:themeShade="80"/>
          <w:sz w:val="36"/>
        </w:rPr>
      </w:pPr>
      <w:r w:rsidRPr="006F6FCC">
        <w:rPr>
          <w:rFonts w:cs="Arial"/>
          <w:b/>
          <w:color w:val="1F3864" w:themeColor="accent1" w:themeShade="80"/>
          <w:sz w:val="36"/>
        </w:rPr>
        <w:t>Spiny Dogfish Fact Sheet</w:t>
      </w:r>
    </w:p>
    <w:p w14:paraId="45E1FB28" w14:textId="77777777" w:rsidR="00D1449D" w:rsidRPr="006F6FCC" w:rsidRDefault="00D1449D" w:rsidP="00D1449D">
      <w:pPr>
        <w:ind w:right="372"/>
        <w:jc w:val="both"/>
        <w:rPr>
          <w:rFonts w:cs="Arial"/>
          <w:sz w:val="22"/>
        </w:rPr>
      </w:pPr>
      <w:r w:rsidRPr="006F6FCC">
        <w:rPr>
          <w:rFonts w:cs="Arial"/>
          <w:noProof/>
          <w:sz w:val="22"/>
          <w:lang w:eastAsia="en-GB"/>
        </w:rPr>
        <w:drawing>
          <wp:anchor distT="0" distB="0" distL="114300" distR="114300" simplePos="0" relativeHeight="251659264" behindDoc="1" locked="0" layoutInCell="1" allowOverlap="1" wp14:anchorId="40BF32E9" wp14:editId="242226B9">
            <wp:simplePos x="0" y="0"/>
            <wp:positionH relativeFrom="column">
              <wp:posOffset>16198</wp:posOffset>
            </wp:positionH>
            <wp:positionV relativeFrom="paragraph">
              <wp:posOffset>313690</wp:posOffset>
            </wp:positionV>
            <wp:extent cx="5930254" cy="1749425"/>
            <wp:effectExtent l="0" t="0" r="0" b="3175"/>
            <wp:wrapTight wrapText="bothSides">
              <wp:wrapPolygon edited="0">
                <wp:start x="0" y="0"/>
                <wp:lineTo x="0" y="21404"/>
                <wp:lineTo x="21512" y="21404"/>
                <wp:lineTo x="2151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MS-Species\TEAM_Aquatic_Species\MOU_Sharks\Species_Factsheets\Spiny Dogfish\Squalus acanthias lateral female.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30254" cy="1749425"/>
                    </a:xfrm>
                    <a:prstGeom prst="rect">
                      <a:avLst/>
                    </a:prstGeom>
                    <a:noFill/>
                    <a:ln>
                      <a:noFill/>
                    </a:ln>
                  </pic:spPr>
                </pic:pic>
              </a:graphicData>
            </a:graphic>
            <wp14:sizeRelH relativeFrom="margin">
              <wp14:pctWidth>0</wp14:pctWidth>
            </wp14:sizeRelH>
          </wp:anchor>
        </w:drawing>
      </w:r>
    </w:p>
    <w:p w14:paraId="096CF8B0" w14:textId="77777777" w:rsidR="00D1449D" w:rsidRPr="006F6FCC" w:rsidRDefault="00D1449D" w:rsidP="00D1449D">
      <w:pPr>
        <w:ind w:right="372"/>
        <w:jc w:val="both"/>
        <w:rPr>
          <w:rFonts w:cs="Arial"/>
          <w:sz w:val="22"/>
        </w:rPr>
      </w:pPr>
    </w:p>
    <w:tbl>
      <w:tblPr>
        <w:tblStyle w:val="TableGrid"/>
        <w:tblpPr w:leftFromText="181" w:rightFromText="181" w:topFromText="181" w:bottomFromText="181" w:vertAnchor="text" w:horzAnchor="margin" w:tblpY="21"/>
        <w:tblW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2750"/>
      </w:tblGrid>
      <w:tr w:rsidR="00D1449D" w:rsidRPr="006F6FCC" w14:paraId="33F030B7" w14:textId="77777777" w:rsidTr="0048001D">
        <w:trPr>
          <w:trHeight w:val="364"/>
        </w:trPr>
        <w:tc>
          <w:tcPr>
            <w:tcW w:w="1186" w:type="dxa"/>
            <w:vAlign w:val="center"/>
          </w:tcPr>
          <w:p w14:paraId="348D3288" w14:textId="77777777" w:rsidR="00D1449D" w:rsidRPr="006F6FCC" w:rsidRDefault="00D1449D" w:rsidP="0048001D">
            <w:pPr>
              <w:jc w:val="both"/>
              <w:rPr>
                <w:rFonts w:cs="Arial"/>
                <w:sz w:val="22"/>
              </w:rPr>
            </w:pPr>
            <w:r w:rsidRPr="006F6FCC">
              <w:rPr>
                <w:rFonts w:cs="Arial"/>
                <w:b/>
                <w:sz w:val="22"/>
              </w:rPr>
              <w:t>Class:</w:t>
            </w:r>
          </w:p>
        </w:tc>
        <w:tc>
          <w:tcPr>
            <w:tcW w:w="2750" w:type="dxa"/>
            <w:vAlign w:val="center"/>
          </w:tcPr>
          <w:p w14:paraId="27D866E5" w14:textId="77777777" w:rsidR="00D1449D" w:rsidRPr="006F6FCC" w:rsidRDefault="00D1449D" w:rsidP="0048001D">
            <w:pPr>
              <w:jc w:val="both"/>
              <w:rPr>
                <w:rFonts w:cs="Arial"/>
                <w:sz w:val="22"/>
              </w:rPr>
            </w:pPr>
            <w:r w:rsidRPr="006F6FCC">
              <w:rPr>
                <w:rFonts w:cs="Arial"/>
                <w:sz w:val="22"/>
              </w:rPr>
              <w:t>Chondrichthyes</w:t>
            </w:r>
          </w:p>
        </w:tc>
      </w:tr>
      <w:tr w:rsidR="00D1449D" w:rsidRPr="006F6FCC" w14:paraId="79EDD23F" w14:textId="77777777" w:rsidTr="0048001D">
        <w:trPr>
          <w:trHeight w:val="388"/>
        </w:trPr>
        <w:tc>
          <w:tcPr>
            <w:tcW w:w="1186" w:type="dxa"/>
            <w:vAlign w:val="center"/>
          </w:tcPr>
          <w:p w14:paraId="2089A7EF" w14:textId="77777777" w:rsidR="00D1449D" w:rsidRPr="006F6FCC" w:rsidRDefault="00D1449D" w:rsidP="0048001D">
            <w:pPr>
              <w:jc w:val="both"/>
              <w:rPr>
                <w:rFonts w:cs="Arial"/>
                <w:sz w:val="22"/>
              </w:rPr>
            </w:pPr>
            <w:r w:rsidRPr="006F6FCC">
              <w:rPr>
                <w:rFonts w:cs="Arial"/>
                <w:b/>
                <w:sz w:val="22"/>
              </w:rPr>
              <w:t>Order:</w:t>
            </w:r>
          </w:p>
        </w:tc>
        <w:tc>
          <w:tcPr>
            <w:tcW w:w="2750" w:type="dxa"/>
            <w:vAlign w:val="center"/>
          </w:tcPr>
          <w:p w14:paraId="5BFC524A" w14:textId="77777777" w:rsidR="00D1449D" w:rsidRPr="006F6FCC" w:rsidRDefault="00D1449D" w:rsidP="0048001D">
            <w:pPr>
              <w:jc w:val="both"/>
              <w:rPr>
                <w:rFonts w:cs="Arial"/>
                <w:sz w:val="22"/>
              </w:rPr>
            </w:pPr>
            <w:r w:rsidRPr="006F6FCC">
              <w:rPr>
                <w:rFonts w:cs="Arial"/>
                <w:sz w:val="22"/>
              </w:rPr>
              <w:t>Squaliformes</w:t>
            </w:r>
          </w:p>
        </w:tc>
      </w:tr>
      <w:tr w:rsidR="00D1449D" w:rsidRPr="006F6FCC" w14:paraId="0FC7C8E3" w14:textId="77777777" w:rsidTr="0048001D">
        <w:trPr>
          <w:trHeight w:val="349"/>
        </w:trPr>
        <w:tc>
          <w:tcPr>
            <w:tcW w:w="1186" w:type="dxa"/>
            <w:vAlign w:val="center"/>
          </w:tcPr>
          <w:p w14:paraId="33A7B446" w14:textId="77777777" w:rsidR="00D1449D" w:rsidRPr="006F6FCC" w:rsidRDefault="00D1449D" w:rsidP="0048001D">
            <w:pPr>
              <w:jc w:val="both"/>
              <w:rPr>
                <w:rFonts w:cs="Arial"/>
                <w:sz w:val="22"/>
              </w:rPr>
            </w:pPr>
            <w:r w:rsidRPr="006F6FCC">
              <w:rPr>
                <w:rFonts w:cs="Arial"/>
                <w:b/>
                <w:sz w:val="22"/>
              </w:rPr>
              <w:t>Family:</w:t>
            </w:r>
          </w:p>
        </w:tc>
        <w:tc>
          <w:tcPr>
            <w:tcW w:w="2750" w:type="dxa"/>
            <w:vAlign w:val="center"/>
          </w:tcPr>
          <w:p w14:paraId="43BB9ECC" w14:textId="77777777" w:rsidR="00D1449D" w:rsidRPr="006F6FCC" w:rsidRDefault="00D1449D" w:rsidP="0048001D">
            <w:pPr>
              <w:jc w:val="both"/>
              <w:rPr>
                <w:rFonts w:cs="Arial"/>
                <w:sz w:val="22"/>
              </w:rPr>
            </w:pPr>
            <w:r w:rsidRPr="006F6FCC">
              <w:rPr>
                <w:rFonts w:cs="Arial"/>
                <w:sz w:val="22"/>
              </w:rPr>
              <w:t>Squalidae</w:t>
            </w:r>
          </w:p>
        </w:tc>
      </w:tr>
      <w:tr w:rsidR="00D1449D" w:rsidRPr="006F6FCC" w14:paraId="215144D0" w14:textId="77777777" w:rsidTr="0048001D">
        <w:trPr>
          <w:trHeight w:val="364"/>
        </w:trPr>
        <w:tc>
          <w:tcPr>
            <w:tcW w:w="1186" w:type="dxa"/>
            <w:vAlign w:val="center"/>
          </w:tcPr>
          <w:p w14:paraId="7E725898" w14:textId="77777777" w:rsidR="00D1449D" w:rsidRPr="006F6FCC" w:rsidRDefault="00D1449D" w:rsidP="0048001D">
            <w:pPr>
              <w:jc w:val="both"/>
              <w:rPr>
                <w:rFonts w:cs="Arial"/>
                <w:b/>
                <w:sz w:val="22"/>
              </w:rPr>
            </w:pPr>
            <w:r w:rsidRPr="006F6FCC">
              <w:rPr>
                <w:rFonts w:cs="Arial"/>
                <w:b/>
                <w:sz w:val="22"/>
              </w:rPr>
              <w:t>Species:</w:t>
            </w:r>
          </w:p>
        </w:tc>
        <w:tc>
          <w:tcPr>
            <w:tcW w:w="2750" w:type="dxa"/>
            <w:vAlign w:val="center"/>
          </w:tcPr>
          <w:p w14:paraId="03BDBEE7" w14:textId="77777777" w:rsidR="00D1449D" w:rsidRPr="006F6FCC" w:rsidRDefault="00D1449D" w:rsidP="0048001D">
            <w:pPr>
              <w:jc w:val="both"/>
              <w:rPr>
                <w:rFonts w:cs="Arial"/>
                <w:sz w:val="22"/>
              </w:rPr>
            </w:pPr>
            <w:r w:rsidRPr="006F6FCC">
              <w:rPr>
                <w:rStyle w:val="sciname"/>
                <w:rFonts w:cs="Arial"/>
                <w:i/>
                <w:iCs/>
                <w:sz w:val="22"/>
              </w:rPr>
              <w:t>Squalus acanthias</w:t>
            </w:r>
          </w:p>
        </w:tc>
      </w:tr>
    </w:tbl>
    <w:p w14:paraId="45C9AF70" w14:textId="77777777" w:rsidR="00D1449D" w:rsidRPr="006F6FCC" w:rsidRDefault="00D1449D" w:rsidP="00D1449D">
      <w:pPr>
        <w:ind w:right="372"/>
        <w:jc w:val="both"/>
        <w:rPr>
          <w:rFonts w:cs="Arial"/>
          <w:sz w:val="22"/>
        </w:rPr>
      </w:pPr>
    </w:p>
    <w:p w14:paraId="655C274A" w14:textId="5B886B7E" w:rsidR="00D1449D" w:rsidRPr="006F6FCC" w:rsidRDefault="00D1449D" w:rsidP="00D1449D">
      <w:pPr>
        <w:ind w:right="340"/>
        <w:jc w:val="both"/>
        <w:rPr>
          <w:rFonts w:cs="Arial"/>
          <w:sz w:val="22"/>
        </w:rPr>
      </w:pPr>
      <w:r w:rsidRPr="006F6FCC">
        <w:rPr>
          <w:rFonts w:cs="Arial"/>
          <w:sz w:val="22"/>
        </w:rPr>
        <w:t xml:space="preserve">Spiny </w:t>
      </w:r>
      <w:r w:rsidR="00AD5226" w:rsidRPr="006F6FCC">
        <w:rPr>
          <w:rFonts w:cs="Arial"/>
          <w:sz w:val="22"/>
        </w:rPr>
        <w:t>D</w:t>
      </w:r>
      <w:r w:rsidRPr="006F6FCC">
        <w:rPr>
          <w:rFonts w:cs="Arial"/>
          <w:sz w:val="22"/>
        </w:rPr>
        <w:t>ogfish</w:t>
      </w:r>
    </w:p>
    <w:p w14:paraId="1B5C264A" w14:textId="77777777" w:rsidR="00D1449D" w:rsidRPr="006F6FCC" w:rsidRDefault="00D1449D" w:rsidP="00D1449D">
      <w:pPr>
        <w:ind w:right="340"/>
        <w:jc w:val="both"/>
        <w:rPr>
          <w:rFonts w:cs="Arial"/>
          <w:sz w:val="22"/>
        </w:rPr>
      </w:pPr>
      <w:r w:rsidRPr="006F6FCC">
        <w:rPr>
          <w:rFonts w:cs="Arial"/>
          <w:sz w:val="22"/>
        </w:rPr>
        <w:t>Aiguillat commun</w:t>
      </w:r>
    </w:p>
    <w:p w14:paraId="3935A7A5" w14:textId="77777777" w:rsidR="00D1449D" w:rsidRPr="006F6FCC" w:rsidRDefault="00D1449D" w:rsidP="00D1449D">
      <w:pPr>
        <w:ind w:right="340"/>
        <w:jc w:val="both"/>
        <w:rPr>
          <w:rFonts w:cs="Arial"/>
          <w:sz w:val="22"/>
          <w:lang w:val="es-419"/>
        </w:rPr>
      </w:pPr>
      <w:r w:rsidRPr="006F6FCC">
        <w:rPr>
          <w:rFonts w:cs="Arial"/>
          <w:sz w:val="22"/>
          <w:lang w:val="es-419"/>
        </w:rPr>
        <w:t>Mielga/Galludo</w:t>
      </w:r>
    </w:p>
    <w:p w14:paraId="5A6D38B6" w14:textId="77777777" w:rsidR="00D1449D" w:rsidRPr="006F6FCC" w:rsidRDefault="00D1449D" w:rsidP="00D1449D">
      <w:pPr>
        <w:jc w:val="both"/>
        <w:rPr>
          <w:rFonts w:cs="Arial"/>
          <w:color w:val="333333"/>
          <w:sz w:val="22"/>
          <w:lang w:val="es-419" w:eastAsia="en-GB"/>
        </w:rPr>
      </w:pPr>
    </w:p>
    <w:p w14:paraId="2B257ACE" w14:textId="77777777" w:rsidR="00D1449D" w:rsidRPr="006F6FCC" w:rsidRDefault="00D1449D" w:rsidP="00D1449D">
      <w:pPr>
        <w:ind w:right="340"/>
        <w:jc w:val="both"/>
        <w:rPr>
          <w:rFonts w:cs="Arial"/>
          <w:sz w:val="22"/>
        </w:rPr>
      </w:pPr>
      <w:r w:rsidRPr="006F6FCC">
        <w:rPr>
          <w:rFonts w:cs="Arial"/>
          <w:sz w:val="22"/>
        </w:rPr>
        <w:t>Illustration: © Marc Dando</w:t>
      </w:r>
    </w:p>
    <w:p w14:paraId="070E5516" w14:textId="4487CEED" w:rsidR="00D1449D" w:rsidRPr="006F6FCC" w:rsidRDefault="00D1449D" w:rsidP="00D1449D">
      <w:pPr>
        <w:jc w:val="both"/>
        <w:rPr>
          <w:rFonts w:cs="Arial"/>
        </w:rPr>
      </w:pPr>
    </w:p>
    <w:p w14:paraId="4BE2E317" w14:textId="77777777" w:rsidR="00D1449D" w:rsidRPr="006F6FCC" w:rsidRDefault="00D1449D" w:rsidP="00D1449D">
      <w:pPr>
        <w:jc w:val="both"/>
        <w:rPr>
          <w:rFonts w:cs="Arial"/>
        </w:rPr>
      </w:pPr>
    </w:p>
    <w:p w14:paraId="5A2EC8BD" w14:textId="42AEF691"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BIOLOGY</w:t>
      </w:r>
    </w:p>
    <w:p w14:paraId="4FD7DD44" w14:textId="71C38C35" w:rsidR="00D1449D" w:rsidRPr="006F6FCC" w:rsidRDefault="00D1449D" w:rsidP="00D1449D">
      <w:pPr>
        <w:jc w:val="both"/>
        <w:rPr>
          <w:rFonts w:cs="Arial"/>
          <w:sz w:val="22"/>
        </w:rPr>
      </w:pPr>
      <w:r w:rsidRPr="006F6FCC">
        <w:rPr>
          <w:rFonts w:cs="Arial"/>
          <w:sz w:val="22"/>
        </w:rPr>
        <w:t xml:space="preserve">Spiny </w:t>
      </w:r>
      <w:r w:rsidR="007847E6" w:rsidRPr="006F6FCC">
        <w:rPr>
          <w:rFonts w:cs="Arial"/>
          <w:sz w:val="22"/>
        </w:rPr>
        <w:t>D</w:t>
      </w:r>
      <w:r w:rsidRPr="006F6FCC">
        <w:rPr>
          <w:rFonts w:cs="Arial"/>
          <w:sz w:val="22"/>
        </w:rPr>
        <w:t>ogfish (</w:t>
      </w:r>
      <w:r w:rsidRPr="006F6FCC">
        <w:rPr>
          <w:rFonts w:cs="Arial"/>
          <w:i/>
          <w:sz w:val="22"/>
        </w:rPr>
        <w:t>Squalus acanthias</w:t>
      </w:r>
      <w:r w:rsidRPr="006F6FCC">
        <w:rPr>
          <w:rFonts w:cs="Arial"/>
          <w:sz w:val="22"/>
        </w:rPr>
        <w:t xml:space="preserve">), also known as </w:t>
      </w:r>
      <w:r w:rsidR="007847E6" w:rsidRPr="006F6FCC">
        <w:rPr>
          <w:rFonts w:cs="Arial"/>
          <w:sz w:val="22"/>
        </w:rPr>
        <w:t>P</w:t>
      </w:r>
      <w:r w:rsidRPr="006F6FCC">
        <w:rPr>
          <w:rFonts w:cs="Arial"/>
          <w:sz w:val="22"/>
        </w:rPr>
        <w:t xml:space="preserve">icked </w:t>
      </w:r>
      <w:r w:rsidR="007847E6" w:rsidRPr="006F6FCC">
        <w:rPr>
          <w:rFonts w:cs="Arial"/>
          <w:sz w:val="22"/>
        </w:rPr>
        <w:t>D</w:t>
      </w:r>
      <w:r w:rsidRPr="006F6FCC">
        <w:rPr>
          <w:rFonts w:cs="Arial"/>
          <w:sz w:val="22"/>
        </w:rPr>
        <w:t xml:space="preserve">ogfish or </w:t>
      </w:r>
      <w:r w:rsidR="007847E6" w:rsidRPr="006F6FCC">
        <w:rPr>
          <w:rFonts w:cs="Arial"/>
          <w:sz w:val="22"/>
        </w:rPr>
        <w:t>S</w:t>
      </w:r>
      <w:r w:rsidRPr="006F6FCC">
        <w:rPr>
          <w:rFonts w:cs="Arial"/>
          <w:sz w:val="22"/>
        </w:rPr>
        <w:t xml:space="preserve">purdog, is a demersal shark that has a maximum length of </w:t>
      </w:r>
      <w:r w:rsidRPr="006F6FCC">
        <w:rPr>
          <w:rFonts w:cs="Arial"/>
          <w:sz w:val="22"/>
          <w:shd w:val="clear" w:color="auto" w:fill="FFFFFF"/>
        </w:rPr>
        <w:t xml:space="preserve">125 cm in the </w:t>
      </w:r>
      <w:r w:rsidR="007847E6" w:rsidRPr="006F6FCC">
        <w:rPr>
          <w:rFonts w:cs="Arial"/>
          <w:sz w:val="22"/>
          <w:shd w:val="clear" w:color="auto" w:fill="FFFFFF"/>
        </w:rPr>
        <w:t xml:space="preserve">North </w:t>
      </w:r>
      <w:r w:rsidRPr="006F6FCC">
        <w:rPr>
          <w:rFonts w:cs="Arial"/>
          <w:sz w:val="22"/>
          <w:shd w:val="clear" w:color="auto" w:fill="FFFFFF"/>
        </w:rPr>
        <w:t>Atlantic.</w:t>
      </w:r>
      <w:r w:rsidRPr="006F6FCC">
        <w:rPr>
          <w:rFonts w:cs="Arial"/>
          <w:sz w:val="22"/>
        </w:rPr>
        <w:t xml:space="preserve"> It occurs mostly in shelf seas, from coastal habitats to the shelf edge, but can occur to depths of 900 m. They aggregate by size and sex, and are migratory in regional seas. Spiny </w:t>
      </w:r>
      <w:r w:rsidR="007847E6" w:rsidRPr="006F6FCC">
        <w:rPr>
          <w:rFonts w:cs="Arial"/>
          <w:sz w:val="22"/>
        </w:rPr>
        <w:t>D</w:t>
      </w:r>
      <w:r w:rsidRPr="006F6FCC">
        <w:rPr>
          <w:rFonts w:cs="Arial"/>
          <w:sz w:val="22"/>
        </w:rPr>
        <w:t>ogfish are long lived (ca. 50</w:t>
      </w:r>
      <w:r w:rsidR="007847E6" w:rsidRPr="006F6FCC">
        <w:rPr>
          <w:rFonts w:cs="Arial"/>
          <w:sz w:val="22"/>
        </w:rPr>
        <w:t>–</w:t>
      </w:r>
      <w:r w:rsidRPr="006F6FCC">
        <w:rPr>
          <w:rFonts w:cs="Arial"/>
          <w:sz w:val="22"/>
        </w:rPr>
        <w:t>60 years) and have slow growth rates. Females mature at a length of 75-85 cm, produce up to 21 pups and gestation lasts two years</w:t>
      </w:r>
      <w:r w:rsidR="007847E6" w:rsidRPr="006F6FCC">
        <w:rPr>
          <w:rFonts w:cs="Arial"/>
          <w:sz w:val="22"/>
        </w:rPr>
        <w:t xml:space="preserve"> (ICES, 2017)</w:t>
      </w:r>
      <w:r w:rsidRPr="006F6FCC">
        <w:rPr>
          <w:rFonts w:cs="Arial"/>
          <w:sz w:val="22"/>
        </w:rPr>
        <w:t xml:space="preserve">. </w:t>
      </w:r>
      <w:r w:rsidR="007847E6" w:rsidRPr="006F6FCC">
        <w:rPr>
          <w:rFonts w:cs="Arial"/>
          <w:sz w:val="22"/>
        </w:rPr>
        <w:t xml:space="preserve">Published studies on </w:t>
      </w:r>
      <w:r w:rsidR="007847E6" w:rsidRPr="006F6FCC">
        <w:rPr>
          <w:rFonts w:cs="Arial"/>
          <w:i/>
          <w:sz w:val="22"/>
        </w:rPr>
        <w:t>S. acanthias</w:t>
      </w:r>
      <w:r w:rsidR="007847E6" w:rsidRPr="006F6FCC">
        <w:rPr>
          <w:rFonts w:cs="Arial"/>
          <w:sz w:val="22"/>
        </w:rPr>
        <w:t xml:space="preserve"> from the North Pacific relate to </w:t>
      </w:r>
      <w:r w:rsidR="007847E6" w:rsidRPr="006F6FCC">
        <w:rPr>
          <w:rFonts w:cs="Arial"/>
          <w:i/>
          <w:iCs/>
          <w:sz w:val="22"/>
        </w:rPr>
        <w:t>Squalus suckleyi</w:t>
      </w:r>
      <w:r w:rsidR="007847E6" w:rsidRPr="006F6FCC">
        <w:rPr>
          <w:rFonts w:cs="Arial"/>
          <w:iCs/>
          <w:sz w:val="22"/>
        </w:rPr>
        <w:t xml:space="preserve"> (see Ebert </w:t>
      </w:r>
      <w:r w:rsidR="007847E6" w:rsidRPr="006F6FCC">
        <w:rPr>
          <w:rFonts w:cs="Arial"/>
          <w:i/>
          <w:iCs/>
          <w:sz w:val="22"/>
        </w:rPr>
        <w:t>et al.</w:t>
      </w:r>
      <w:r w:rsidR="007847E6" w:rsidRPr="006F6FCC">
        <w:rPr>
          <w:rFonts w:cs="Arial"/>
          <w:iCs/>
          <w:sz w:val="22"/>
        </w:rPr>
        <w:t>, 2010).</w:t>
      </w:r>
    </w:p>
    <w:p w14:paraId="2750550B" w14:textId="77777777" w:rsidR="00D1449D" w:rsidRPr="006F6FCC" w:rsidRDefault="00D1449D" w:rsidP="00D1449D">
      <w:pPr>
        <w:jc w:val="both"/>
        <w:rPr>
          <w:rFonts w:cs="Arial"/>
          <w:sz w:val="22"/>
        </w:rPr>
      </w:pPr>
    </w:p>
    <w:p w14:paraId="4FDB4A95" w14:textId="2C43457E"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DISTRIBUTION</w:t>
      </w:r>
    </w:p>
    <w:p w14:paraId="2AC909D3" w14:textId="2DBDE38E" w:rsidR="00D1449D" w:rsidRPr="006F6FCC" w:rsidRDefault="00D1449D" w:rsidP="00D1449D">
      <w:pPr>
        <w:jc w:val="both"/>
        <w:rPr>
          <w:rFonts w:cs="Arial"/>
          <w:iCs/>
          <w:sz w:val="22"/>
        </w:rPr>
      </w:pPr>
      <w:r w:rsidRPr="006F6FCC">
        <w:rPr>
          <w:rFonts w:cs="Arial"/>
          <w:sz w:val="22"/>
        </w:rPr>
        <w:t xml:space="preserve">Spiny </w:t>
      </w:r>
      <w:r w:rsidR="007847E6" w:rsidRPr="006F6FCC">
        <w:rPr>
          <w:rFonts w:cs="Arial"/>
          <w:sz w:val="22"/>
        </w:rPr>
        <w:t>D</w:t>
      </w:r>
      <w:r w:rsidRPr="006F6FCC">
        <w:rPr>
          <w:rFonts w:cs="Arial"/>
          <w:sz w:val="22"/>
        </w:rPr>
        <w:t>ogfish is distributed in both northern and southern temperate and boreal waters, but the Sharks MOU lists northern hemisphere populations only. Northern hemisphere s</w:t>
      </w:r>
      <w:r w:rsidRPr="006F6FCC">
        <w:rPr>
          <w:rFonts w:cs="Arial"/>
          <w:iCs/>
          <w:sz w:val="22"/>
        </w:rPr>
        <w:t>ubpopulations occur in the Northeast and Northwest Atlantic, Mediterranean Sea and Black Sea.</w:t>
      </w:r>
      <w:r w:rsidR="007847E6" w:rsidRPr="006F6FCC">
        <w:rPr>
          <w:rFonts w:cs="Arial"/>
          <w:iCs/>
          <w:sz w:val="22"/>
        </w:rPr>
        <w:t xml:space="preserve"> North Pacific populations of ‘Spiny Dogfish’ are now considered to be a separate species, </w:t>
      </w:r>
      <w:r w:rsidR="007847E6" w:rsidRPr="006F6FCC">
        <w:rPr>
          <w:rFonts w:cs="Arial"/>
          <w:i/>
          <w:iCs/>
          <w:sz w:val="22"/>
        </w:rPr>
        <w:t>Squalus suckleyi</w:t>
      </w:r>
      <w:r w:rsidR="007847E6" w:rsidRPr="006F6FCC">
        <w:rPr>
          <w:rFonts w:cs="Arial"/>
          <w:iCs/>
          <w:sz w:val="22"/>
        </w:rPr>
        <w:t xml:space="preserve"> (see Ebert </w:t>
      </w:r>
      <w:r w:rsidR="007847E6" w:rsidRPr="006F6FCC">
        <w:rPr>
          <w:rFonts w:cs="Arial"/>
          <w:i/>
          <w:iCs/>
          <w:sz w:val="22"/>
        </w:rPr>
        <w:t>et al.</w:t>
      </w:r>
      <w:r w:rsidR="007847E6" w:rsidRPr="006F6FCC">
        <w:rPr>
          <w:rFonts w:cs="Arial"/>
          <w:iCs/>
          <w:sz w:val="22"/>
        </w:rPr>
        <w:t>, 2010).</w:t>
      </w:r>
    </w:p>
    <w:p w14:paraId="4DF6438F" w14:textId="77777777" w:rsidR="00D1449D" w:rsidRPr="006F6FCC" w:rsidRDefault="00D1449D" w:rsidP="00D1449D">
      <w:pPr>
        <w:pStyle w:val="CommentText"/>
        <w:jc w:val="both"/>
        <w:rPr>
          <w:rFonts w:cs="Arial"/>
          <w:iCs/>
          <w:sz w:val="22"/>
          <w:szCs w:val="22"/>
        </w:rPr>
      </w:pPr>
      <w:r w:rsidRPr="006F6FCC">
        <w:rPr>
          <w:rFonts w:cs="Arial"/>
          <w:noProof/>
        </w:rPr>
        <w:lastRenderedPageBreak/>
        <w:drawing>
          <wp:inline distT="0" distB="0" distL="0" distR="0" wp14:anchorId="5C18E505" wp14:editId="4216E6D5">
            <wp:extent cx="5943600" cy="2349513"/>
            <wp:effectExtent l="0" t="0" r="0" b="0"/>
            <wp:docPr id="36" name="Picture 36" descr="C:\Users\amalia.saladrigas\AppData\Local\Microsoft\Windows\INetCache\Content.Word\Squalus_acanth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alia.saladrigas\AppData\Local\Microsoft\Windows\INetCache\Content.Word\Squalus_acanthia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349513"/>
                    </a:xfrm>
                    <a:prstGeom prst="rect">
                      <a:avLst/>
                    </a:prstGeom>
                    <a:noFill/>
                    <a:ln>
                      <a:noFill/>
                    </a:ln>
                  </pic:spPr>
                </pic:pic>
              </a:graphicData>
            </a:graphic>
          </wp:inline>
        </w:drawing>
      </w:r>
    </w:p>
    <w:p w14:paraId="7B8A9AE3" w14:textId="3F99DB20" w:rsidR="00D1449D" w:rsidRPr="006F6FCC" w:rsidRDefault="00E40C5A" w:rsidP="00D1449D">
      <w:pPr>
        <w:pStyle w:val="CommentText"/>
        <w:jc w:val="both"/>
        <w:rPr>
          <w:rFonts w:cs="Arial"/>
          <w:iCs/>
          <w:sz w:val="18"/>
          <w:szCs w:val="18"/>
        </w:rPr>
      </w:pPr>
      <w:r w:rsidRPr="006F6FCC">
        <w:rPr>
          <w:rFonts w:cs="Arial"/>
          <w:b/>
          <w:iCs/>
          <w:sz w:val="18"/>
          <w:szCs w:val="18"/>
        </w:rPr>
        <w:t>Figure 1</w:t>
      </w:r>
      <w:r w:rsidR="00D1449D" w:rsidRPr="006F6FCC">
        <w:rPr>
          <w:rFonts w:cs="Arial"/>
          <w:b/>
          <w:iCs/>
          <w:sz w:val="18"/>
          <w:szCs w:val="18"/>
        </w:rPr>
        <w:t xml:space="preserve">: </w:t>
      </w:r>
      <w:r w:rsidR="00D1449D" w:rsidRPr="006F6FCC">
        <w:rPr>
          <w:rFonts w:cs="Arial"/>
          <w:iCs/>
          <w:sz w:val="18"/>
          <w:szCs w:val="18"/>
        </w:rPr>
        <w:t xml:space="preserve">Distribution of </w:t>
      </w:r>
      <w:r w:rsidR="00D1449D" w:rsidRPr="006F6FCC">
        <w:rPr>
          <w:rFonts w:cs="Arial"/>
          <w:i/>
          <w:iCs/>
          <w:sz w:val="18"/>
          <w:szCs w:val="18"/>
        </w:rPr>
        <w:t xml:space="preserve">Squalus acanthias, </w:t>
      </w:r>
      <w:r w:rsidR="00D1449D" w:rsidRPr="006F6FCC">
        <w:rPr>
          <w:rFonts w:cs="Arial"/>
          <w:iCs/>
          <w:sz w:val="18"/>
          <w:szCs w:val="18"/>
        </w:rPr>
        <w:t>courtesy of IUCN.</w:t>
      </w:r>
    </w:p>
    <w:p w14:paraId="0F6503C8" w14:textId="77777777" w:rsidR="00D1449D" w:rsidRPr="006F6FCC" w:rsidRDefault="00D1449D" w:rsidP="00D1449D">
      <w:pPr>
        <w:pStyle w:val="CommentText"/>
        <w:jc w:val="both"/>
        <w:rPr>
          <w:rFonts w:cs="Arial"/>
          <w:iCs/>
          <w:sz w:val="22"/>
          <w:szCs w:val="22"/>
        </w:rPr>
      </w:pPr>
    </w:p>
    <w:p w14:paraId="314ED950" w14:textId="0C783152"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CRITICAL SITES</w:t>
      </w:r>
    </w:p>
    <w:p w14:paraId="38F39ABE" w14:textId="7CDB5901" w:rsidR="00D1449D" w:rsidRPr="006F6FCC" w:rsidRDefault="00D1449D" w:rsidP="00D1449D">
      <w:pPr>
        <w:jc w:val="both"/>
        <w:rPr>
          <w:rFonts w:cs="Arial"/>
          <w:noProof/>
          <w:sz w:val="22"/>
        </w:rPr>
      </w:pPr>
      <w:r w:rsidRPr="006F6FCC">
        <w:rPr>
          <w:rFonts w:cs="Arial"/>
          <w:sz w:val="22"/>
        </w:rPr>
        <w:t xml:space="preserve">While there is extensive monitoring effort in the NE and NW Atlantic, critical sites for this species supporting different life stages or as </w:t>
      </w:r>
      <w:r w:rsidRPr="006F6FCC">
        <w:rPr>
          <w:rFonts w:eastAsiaTheme="minorHAnsi" w:cs="Arial"/>
          <w:sz w:val="22"/>
        </w:rPr>
        <w:t>pupping and nursery grounds</w:t>
      </w:r>
      <w:r w:rsidRPr="006F6FCC">
        <w:rPr>
          <w:rFonts w:cs="Arial"/>
          <w:sz w:val="22"/>
        </w:rPr>
        <w:t xml:space="preserve"> are largely undefined </w:t>
      </w:r>
      <w:r w:rsidRPr="006F6FCC">
        <w:rPr>
          <w:rFonts w:cs="Arial"/>
          <w:sz w:val="22"/>
        </w:rPr>
        <w:fldChar w:fldCharType="begin"/>
      </w:r>
      <w:r w:rsidRPr="006F6FCC">
        <w:rPr>
          <w:rFonts w:cs="Arial"/>
          <w:sz w:val="22"/>
        </w:rPr>
        <w:instrText xml:space="preserve"> ADDIN EN.CITE &lt;EndNote&gt;&lt;Cite&gt;&lt;Author&gt;ICES&lt;/Author&gt;&lt;Year&gt;2008&lt;/Year&gt;&lt;RecNum&gt;524&lt;/RecNum&gt;&lt;DisplayText&gt;(ICES 2008)&lt;/DisplayText&gt;&lt;record&gt;&lt;rec-number&gt;524&lt;/rec-number&gt;&lt;foreign-keys&gt;&lt;key app="EN" db-id="5zv95r90uwv55hew0xp59erdfvwvzfrf09s9" timestamp="1500969611"&gt;524&lt;/key&gt;&lt;/foreign-keys&gt;&lt;ref-type name="Report"&gt;27&lt;/ref-type&gt;&lt;contributors&gt;&lt;authors&gt;&lt;author&gt;ICES&lt;/author&gt;&lt;/authors&gt;&lt;/contributors&gt;&lt;titles&gt;&lt;title&gt;Report of the Working Group Elasmobranch Fishes (WGEF), 3–6 March 2008, Copenhagen, Denmark. ICES CM 2008/ACOM:16. 332 pp.&lt;/title&gt;&lt;/titles&gt;&lt;dates&gt;&lt;year&gt;2008&lt;/year&gt;&lt;/dates&gt;&lt;urls&gt;&lt;/urls&gt;&lt;/record&gt;&lt;/Cite&gt;&lt;/EndNote&gt;</w:instrText>
      </w:r>
      <w:r w:rsidRPr="006F6FCC">
        <w:rPr>
          <w:rFonts w:cs="Arial"/>
          <w:sz w:val="22"/>
        </w:rPr>
        <w:fldChar w:fldCharType="separate"/>
      </w:r>
      <w:r w:rsidRPr="006F6FCC">
        <w:rPr>
          <w:rFonts w:cs="Arial"/>
          <w:noProof/>
          <w:sz w:val="22"/>
        </w:rPr>
        <w:t>(McMillan &amp; Morse 1999; Sulikowski et al. 2013</w:t>
      </w:r>
      <w:r w:rsidR="007847E6" w:rsidRPr="006F6FCC">
        <w:rPr>
          <w:rFonts w:cs="Arial"/>
          <w:noProof/>
          <w:sz w:val="22"/>
        </w:rPr>
        <w:t>; ICES 2017</w:t>
      </w:r>
      <w:r w:rsidRPr="006F6FCC">
        <w:rPr>
          <w:rFonts w:cs="Arial"/>
          <w:noProof/>
          <w:sz w:val="22"/>
        </w:rPr>
        <w:t>).</w:t>
      </w:r>
    </w:p>
    <w:p w14:paraId="74844C34" w14:textId="77777777" w:rsidR="00D1449D" w:rsidRPr="006F6FCC" w:rsidRDefault="00D1449D" w:rsidP="00D1449D">
      <w:pPr>
        <w:jc w:val="both"/>
        <w:rPr>
          <w:rFonts w:cs="Arial"/>
          <w:sz w:val="22"/>
        </w:rPr>
      </w:pPr>
      <w:r w:rsidRPr="006F6FCC">
        <w:rPr>
          <w:rFonts w:cs="Arial"/>
          <w:sz w:val="22"/>
        </w:rPr>
        <w:fldChar w:fldCharType="end"/>
      </w:r>
      <w:r w:rsidRPr="006F6FCC">
        <w:rPr>
          <w:rFonts w:cs="Arial"/>
          <w:sz w:val="22"/>
        </w:rPr>
        <w:t xml:space="preserve"> </w:t>
      </w:r>
    </w:p>
    <w:p w14:paraId="126C5749" w14:textId="3F2D39E6"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POPULATION STATUS AND TRENDS</w:t>
      </w:r>
    </w:p>
    <w:p w14:paraId="615D50AD" w14:textId="52B07D18" w:rsidR="00D1449D" w:rsidRPr="006F6FCC" w:rsidRDefault="00D1449D" w:rsidP="00D1449D">
      <w:pPr>
        <w:jc w:val="both"/>
        <w:rPr>
          <w:rFonts w:cs="Arial"/>
          <w:sz w:val="22"/>
        </w:rPr>
      </w:pPr>
      <w:r w:rsidRPr="006F6FCC">
        <w:rPr>
          <w:rFonts w:eastAsiaTheme="minorHAnsi" w:cs="Arial"/>
          <w:sz w:val="22"/>
        </w:rPr>
        <w:t xml:space="preserve">Stock assessments for </w:t>
      </w:r>
      <w:r w:rsidR="007847E6" w:rsidRPr="006F6FCC">
        <w:rPr>
          <w:rFonts w:eastAsiaTheme="minorHAnsi" w:cs="Arial"/>
          <w:sz w:val="22"/>
        </w:rPr>
        <w:t>S</w:t>
      </w:r>
      <w:r w:rsidRPr="006F6FCC">
        <w:rPr>
          <w:rFonts w:eastAsiaTheme="minorHAnsi" w:cs="Arial"/>
          <w:sz w:val="22"/>
        </w:rPr>
        <w:t xml:space="preserve">piny </w:t>
      </w:r>
      <w:r w:rsidR="007847E6" w:rsidRPr="006F6FCC">
        <w:rPr>
          <w:rFonts w:eastAsiaTheme="minorHAnsi" w:cs="Arial"/>
          <w:sz w:val="22"/>
        </w:rPr>
        <w:t>D</w:t>
      </w:r>
      <w:r w:rsidRPr="006F6FCC">
        <w:rPr>
          <w:rFonts w:eastAsiaTheme="minorHAnsi" w:cs="Arial"/>
          <w:sz w:val="22"/>
        </w:rPr>
        <w:t xml:space="preserve">ogfish are undertaken by the </w:t>
      </w:r>
      <w:r w:rsidRPr="006F6FCC">
        <w:rPr>
          <w:rFonts w:cs="Arial"/>
          <w:noProof/>
          <w:sz w:val="22"/>
        </w:rPr>
        <w:t xml:space="preserve">Northeast Fisheries Science Centre </w:t>
      </w:r>
      <w:r w:rsidRPr="006F6FCC">
        <w:rPr>
          <w:rFonts w:eastAsiaTheme="minorHAnsi" w:cs="Arial"/>
          <w:sz w:val="22"/>
        </w:rPr>
        <w:t xml:space="preserve">for the NW Atlantic </w:t>
      </w:r>
      <w:r w:rsidRPr="006F6FCC">
        <w:rPr>
          <w:rFonts w:cs="Arial"/>
          <w:noProof/>
          <w:sz w:val="22"/>
        </w:rPr>
        <w:t>(NEFSC, 2006) and by ICES for the NE Atlantic stock (De Oliveira et al. 2013; ICES, 201</w:t>
      </w:r>
      <w:r w:rsidR="007847E6" w:rsidRPr="006F6FCC">
        <w:rPr>
          <w:rFonts w:cs="Arial"/>
          <w:noProof/>
          <w:sz w:val="22"/>
        </w:rPr>
        <w:t>7</w:t>
      </w:r>
      <w:r w:rsidRPr="006F6FCC">
        <w:rPr>
          <w:rFonts w:cs="Arial"/>
          <w:noProof/>
          <w:sz w:val="22"/>
        </w:rPr>
        <w:t>). There is more limited information on Mediterranean Sea and Black Sea, with exploratory assessment</w:t>
      </w:r>
      <w:r w:rsidR="007847E6" w:rsidRPr="006F6FCC">
        <w:rPr>
          <w:rFonts w:cs="Arial"/>
          <w:noProof/>
          <w:sz w:val="22"/>
        </w:rPr>
        <w:t>s</w:t>
      </w:r>
      <w:r w:rsidRPr="006F6FCC">
        <w:rPr>
          <w:rFonts w:cs="Arial"/>
          <w:noProof/>
          <w:sz w:val="22"/>
        </w:rPr>
        <w:t xml:space="preserve"> undertake</w:t>
      </w:r>
      <w:r w:rsidR="007847E6" w:rsidRPr="006F6FCC">
        <w:rPr>
          <w:rFonts w:cs="Arial"/>
          <w:noProof/>
          <w:sz w:val="22"/>
        </w:rPr>
        <w:t>n</w:t>
      </w:r>
      <w:r w:rsidRPr="006F6FCC">
        <w:rPr>
          <w:rFonts w:cs="Arial"/>
          <w:noProof/>
          <w:sz w:val="22"/>
        </w:rPr>
        <w:t xml:space="preserve"> under the auspices of the GFCM. </w:t>
      </w:r>
      <w:r w:rsidRPr="006F6FCC">
        <w:rPr>
          <w:rFonts w:eastAsiaTheme="minorHAnsi" w:cs="Arial"/>
          <w:sz w:val="22"/>
        </w:rPr>
        <w:t>The current IUCN Red List status for the global population is Vulnerable (</w:t>
      </w:r>
      <w:r w:rsidRPr="006F6FCC">
        <w:rPr>
          <w:rFonts w:eastAsiaTheme="minorHAnsi" w:cs="Arial"/>
          <w:noProof/>
          <w:sz w:val="22"/>
        </w:rPr>
        <w:t>Fordham et al. 2016</w:t>
      </w:r>
      <w:r w:rsidRPr="006F6FCC">
        <w:rPr>
          <w:rFonts w:eastAsiaTheme="minorHAnsi" w:cs="Arial"/>
          <w:sz w:val="22"/>
        </w:rPr>
        <w:t>)</w:t>
      </w:r>
      <w:r w:rsidRPr="006F6FCC">
        <w:rPr>
          <w:rStyle w:val="FootnoteReference"/>
          <w:rFonts w:eastAsiaTheme="minorHAnsi" w:cs="Arial"/>
          <w:sz w:val="22"/>
        </w:rPr>
        <w:t xml:space="preserve"> </w:t>
      </w:r>
      <w:r w:rsidRPr="006F6FCC">
        <w:rPr>
          <w:rStyle w:val="FootnoteReference"/>
          <w:rFonts w:eastAsiaTheme="minorHAnsi" w:cs="Arial"/>
          <w:sz w:val="22"/>
        </w:rPr>
        <w:footnoteReference w:id="1"/>
      </w:r>
      <w:r w:rsidRPr="006F6FCC">
        <w:rPr>
          <w:rFonts w:eastAsiaTheme="minorHAnsi" w:cs="Arial"/>
          <w:sz w:val="22"/>
        </w:rPr>
        <w:t>.</w:t>
      </w:r>
    </w:p>
    <w:p w14:paraId="53ECEFC9" w14:textId="77777777" w:rsidR="00D1449D" w:rsidRPr="006F6FCC" w:rsidRDefault="00D1449D" w:rsidP="00D1449D">
      <w:pPr>
        <w:jc w:val="both"/>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2205"/>
        <w:gridCol w:w="1830"/>
        <w:gridCol w:w="3022"/>
      </w:tblGrid>
      <w:tr w:rsidR="00D1449D" w:rsidRPr="006F6FCC" w14:paraId="56B98F18" w14:textId="77777777" w:rsidTr="0048001D">
        <w:trPr>
          <w:trHeight w:val="300"/>
        </w:trPr>
        <w:tc>
          <w:tcPr>
            <w:tcW w:w="2185" w:type="dxa"/>
            <w:shd w:val="clear" w:color="000000" w:fill="BFBFBF"/>
            <w:noWrap/>
            <w:vAlign w:val="center"/>
            <w:hideMark/>
          </w:tcPr>
          <w:p w14:paraId="43B7E449" w14:textId="77777777" w:rsidR="00D1449D" w:rsidRPr="006F6FCC" w:rsidRDefault="00D1449D" w:rsidP="0048001D">
            <w:pPr>
              <w:jc w:val="both"/>
              <w:rPr>
                <w:rFonts w:cs="Arial"/>
                <w:szCs w:val="20"/>
              </w:rPr>
            </w:pPr>
            <w:r w:rsidRPr="006F6FCC">
              <w:rPr>
                <w:rFonts w:cs="Arial"/>
                <w:szCs w:val="20"/>
              </w:rPr>
              <w:t>Region</w:t>
            </w:r>
          </w:p>
        </w:tc>
        <w:tc>
          <w:tcPr>
            <w:tcW w:w="2323" w:type="dxa"/>
            <w:shd w:val="clear" w:color="000000" w:fill="BFBFBF"/>
            <w:vAlign w:val="center"/>
          </w:tcPr>
          <w:p w14:paraId="00BD9E70" w14:textId="77777777" w:rsidR="00D1449D" w:rsidRPr="006F6FCC" w:rsidRDefault="00D1449D" w:rsidP="0048001D">
            <w:pPr>
              <w:jc w:val="both"/>
              <w:rPr>
                <w:rFonts w:cs="Arial"/>
                <w:szCs w:val="20"/>
              </w:rPr>
            </w:pPr>
            <w:r w:rsidRPr="006F6FCC">
              <w:rPr>
                <w:rFonts w:cs="Arial"/>
                <w:szCs w:val="20"/>
              </w:rPr>
              <w:t>Population trend</w:t>
            </w:r>
          </w:p>
        </w:tc>
        <w:tc>
          <w:tcPr>
            <w:tcW w:w="1830" w:type="dxa"/>
            <w:shd w:val="clear" w:color="000000" w:fill="BFBFBF"/>
            <w:noWrap/>
            <w:vAlign w:val="center"/>
            <w:hideMark/>
          </w:tcPr>
          <w:p w14:paraId="0573E0F8" w14:textId="77777777" w:rsidR="00D1449D" w:rsidRPr="006F6FCC" w:rsidRDefault="00D1449D" w:rsidP="0048001D">
            <w:pPr>
              <w:jc w:val="both"/>
              <w:rPr>
                <w:rFonts w:cs="Arial"/>
                <w:szCs w:val="20"/>
              </w:rPr>
            </w:pPr>
            <w:r w:rsidRPr="006F6FCC">
              <w:rPr>
                <w:rFonts w:cs="Arial"/>
                <w:szCs w:val="20"/>
              </w:rPr>
              <w:t>Time Period</w:t>
            </w:r>
          </w:p>
        </w:tc>
        <w:tc>
          <w:tcPr>
            <w:tcW w:w="3022" w:type="dxa"/>
            <w:shd w:val="clear" w:color="000000" w:fill="BFBFBF"/>
            <w:noWrap/>
            <w:vAlign w:val="center"/>
            <w:hideMark/>
          </w:tcPr>
          <w:p w14:paraId="498A3900" w14:textId="77777777" w:rsidR="00D1449D" w:rsidRPr="006F6FCC" w:rsidRDefault="00D1449D" w:rsidP="0048001D">
            <w:pPr>
              <w:jc w:val="both"/>
              <w:rPr>
                <w:rFonts w:cs="Arial"/>
                <w:szCs w:val="20"/>
              </w:rPr>
            </w:pPr>
            <w:r w:rsidRPr="006F6FCC">
              <w:rPr>
                <w:rFonts w:cs="Arial"/>
                <w:szCs w:val="20"/>
              </w:rPr>
              <w:t>Reference</w:t>
            </w:r>
          </w:p>
        </w:tc>
      </w:tr>
      <w:tr w:rsidR="00D1449D" w:rsidRPr="006F6FCC" w14:paraId="387EF2C2" w14:textId="77777777" w:rsidTr="0048001D">
        <w:trPr>
          <w:trHeight w:val="927"/>
        </w:trPr>
        <w:tc>
          <w:tcPr>
            <w:tcW w:w="2185" w:type="dxa"/>
            <w:shd w:val="clear" w:color="auto" w:fill="auto"/>
            <w:noWrap/>
            <w:vAlign w:val="center"/>
          </w:tcPr>
          <w:p w14:paraId="27B3815C" w14:textId="77777777" w:rsidR="00D1449D" w:rsidRPr="006F6FCC" w:rsidRDefault="00D1449D" w:rsidP="0048001D">
            <w:pPr>
              <w:jc w:val="both"/>
              <w:rPr>
                <w:rFonts w:cs="Arial"/>
                <w:szCs w:val="20"/>
              </w:rPr>
            </w:pPr>
            <w:r w:rsidRPr="006F6FCC">
              <w:rPr>
                <w:rFonts w:eastAsiaTheme="minorHAnsi" w:cs="Arial"/>
                <w:szCs w:val="20"/>
              </w:rPr>
              <w:t>Northeast Atlantic</w:t>
            </w:r>
          </w:p>
          <w:p w14:paraId="2C7660A5" w14:textId="77777777" w:rsidR="00D1449D" w:rsidRPr="006F6FCC" w:rsidRDefault="00D1449D" w:rsidP="0048001D">
            <w:pPr>
              <w:jc w:val="both"/>
              <w:rPr>
                <w:rFonts w:cs="Arial"/>
                <w:szCs w:val="20"/>
              </w:rPr>
            </w:pPr>
          </w:p>
        </w:tc>
        <w:tc>
          <w:tcPr>
            <w:tcW w:w="2323" w:type="dxa"/>
            <w:vAlign w:val="center"/>
          </w:tcPr>
          <w:p w14:paraId="54665296" w14:textId="77777777" w:rsidR="00D1449D" w:rsidRPr="006F6FCC" w:rsidRDefault="00D1449D" w:rsidP="0048001D">
            <w:pPr>
              <w:jc w:val="both"/>
              <w:rPr>
                <w:rFonts w:cs="Arial"/>
                <w:szCs w:val="20"/>
              </w:rPr>
            </w:pPr>
            <w:r w:rsidRPr="006F6FCC">
              <w:rPr>
                <w:rFonts w:cs="Arial"/>
                <w:szCs w:val="20"/>
              </w:rPr>
              <w:t>-82%</w:t>
            </w:r>
          </w:p>
          <w:p w14:paraId="747B2A9E" w14:textId="77777777" w:rsidR="00D1449D" w:rsidRPr="006F6FCC" w:rsidRDefault="00D1449D" w:rsidP="0048001D">
            <w:pPr>
              <w:jc w:val="both"/>
              <w:rPr>
                <w:rFonts w:cs="Arial"/>
                <w:szCs w:val="20"/>
              </w:rPr>
            </w:pPr>
          </w:p>
        </w:tc>
        <w:tc>
          <w:tcPr>
            <w:tcW w:w="1830" w:type="dxa"/>
            <w:shd w:val="clear" w:color="auto" w:fill="auto"/>
            <w:noWrap/>
            <w:vAlign w:val="center"/>
          </w:tcPr>
          <w:p w14:paraId="341EDF58" w14:textId="77777777" w:rsidR="00D1449D" w:rsidRPr="006F6FCC" w:rsidRDefault="00D1449D" w:rsidP="0048001D">
            <w:pPr>
              <w:jc w:val="both"/>
              <w:rPr>
                <w:rFonts w:cs="Arial"/>
                <w:szCs w:val="20"/>
              </w:rPr>
            </w:pPr>
            <w:r w:rsidRPr="006F6FCC">
              <w:rPr>
                <w:rFonts w:cs="Arial"/>
                <w:szCs w:val="20"/>
              </w:rPr>
              <w:t>Since 1905</w:t>
            </w:r>
          </w:p>
          <w:p w14:paraId="1F6AF4D5" w14:textId="77777777" w:rsidR="00D1449D" w:rsidRPr="006F6FCC" w:rsidRDefault="00D1449D" w:rsidP="0048001D">
            <w:pPr>
              <w:jc w:val="both"/>
              <w:rPr>
                <w:rFonts w:cs="Arial"/>
                <w:szCs w:val="20"/>
              </w:rPr>
            </w:pPr>
          </w:p>
        </w:tc>
        <w:tc>
          <w:tcPr>
            <w:tcW w:w="3022" w:type="dxa"/>
            <w:shd w:val="clear" w:color="auto" w:fill="auto"/>
            <w:noWrap/>
            <w:vAlign w:val="center"/>
          </w:tcPr>
          <w:p w14:paraId="653F5C41" w14:textId="57BBE778" w:rsidR="00D1449D" w:rsidRPr="006F6FCC" w:rsidRDefault="00D1449D" w:rsidP="0048001D">
            <w:pPr>
              <w:jc w:val="both"/>
              <w:rPr>
                <w:rFonts w:cs="Arial"/>
                <w:szCs w:val="20"/>
                <w:lang w:val="fr-FR"/>
              </w:rPr>
            </w:pPr>
            <w:r w:rsidRPr="006F6FCC">
              <w:rPr>
                <w:rFonts w:cs="Arial"/>
                <w:noProof/>
                <w:szCs w:val="20"/>
                <w:lang w:val="fr-FR"/>
              </w:rPr>
              <w:t xml:space="preserve">De Oliveira et al. 2013; </w:t>
            </w:r>
            <w:r w:rsidRPr="006F6FCC">
              <w:rPr>
                <w:rFonts w:cs="Arial"/>
                <w:szCs w:val="20"/>
              </w:rPr>
              <w:fldChar w:fldCharType="begin"/>
            </w:r>
            <w:r w:rsidRPr="006F6FCC">
              <w:rPr>
                <w:rFonts w:cs="Arial"/>
                <w:szCs w:val="20"/>
                <w:lang w:val="fr-FR"/>
              </w:rPr>
              <w:instrText xml:space="preserve"> ADDIN EN.CITE &lt;EndNote&gt;&lt;Cite&gt;&lt;Author&gt;ICES&lt;/Author&gt;&lt;Year&gt;2016&lt;/Year&gt;&lt;RecNum&gt;528&lt;/RecNum&gt;&lt;DisplayText&gt;(ICES 2016)&lt;/DisplayText&gt;&lt;record&gt;&lt;rec-number&gt;528&lt;/rec-number&gt;&lt;foreign-keys&gt;&lt;key app="EN" db-id="5zv95r90uwv55hew0xp59erdfvwvzfrf09s9" timestamp="1500981827"&gt;528&lt;/key&gt;&lt;/foreign-keys&gt;&lt;ref-type name="Report"&gt;27&lt;/ref-type&gt;&lt;contributors&gt;&lt;authors&gt;&lt;author&gt;ICES&lt;/author&gt;&lt;/authors&gt;&lt;/contributors&gt;&lt;titles&gt;&lt;title&gt;Report of the Working Group on Elasmobranch Fishes (WGEF), 15–24 June 2016, Lisbon, Portugal. ICES CM/ACOM:20. 26 pp.&lt;/title&gt;&lt;/titles&gt;&lt;dates&gt;&lt;year&gt;2016&lt;/year&gt;&lt;/dates&gt;&lt;urls&gt;&lt;/urls&gt;&lt;/record&gt;&lt;/Cite&gt;&lt;/EndNote&gt;</w:instrText>
            </w:r>
            <w:r w:rsidRPr="006F6FCC">
              <w:rPr>
                <w:rFonts w:cs="Arial"/>
                <w:szCs w:val="20"/>
              </w:rPr>
              <w:fldChar w:fldCharType="separate"/>
            </w:r>
            <w:r w:rsidRPr="006F6FCC">
              <w:rPr>
                <w:rFonts w:cs="Arial"/>
                <w:noProof/>
                <w:szCs w:val="20"/>
                <w:lang w:val="fr-FR"/>
              </w:rPr>
              <w:t>(ICES 201</w:t>
            </w:r>
            <w:r w:rsidR="007847E6" w:rsidRPr="006F6FCC">
              <w:rPr>
                <w:rFonts w:cs="Arial"/>
                <w:noProof/>
                <w:szCs w:val="20"/>
                <w:lang w:val="fr-FR"/>
              </w:rPr>
              <w:t>7</w:t>
            </w:r>
            <w:r w:rsidRPr="006F6FCC">
              <w:rPr>
                <w:rFonts w:cs="Arial"/>
                <w:noProof/>
                <w:szCs w:val="20"/>
                <w:lang w:val="fr-FR"/>
              </w:rPr>
              <w:t>)</w:t>
            </w:r>
            <w:r w:rsidRPr="006F6FCC">
              <w:rPr>
                <w:rFonts w:cs="Arial"/>
                <w:szCs w:val="20"/>
              </w:rPr>
              <w:fldChar w:fldCharType="end"/>
            </w:r>
          </w:p>
          <w:p w14:paraId="4AC31163" w14:textId="77777777" w:rsidR="00D1449D" w:rsidRPr="006F6FCC" w:rsidRDefault="00D1449D" w:rsidP="0048001D">
            <w:pPr>
              <w:jc w:val="both"/>
              <w:rPr>
                <w:rFonts w:cs="Arial"/>
                <w:szCs w:val="20"/>
                <w:lang w:val="fr-FR"/>
              </w:rPr>
            </w:pPr>
          </w:p>
        </w:tc>
      </w:tr>
      <w:tr w:rsidR="00D1449D" w:rsidRPr="006F6FCC" w14:paraId="2F7D5AB4" w14:textId="77777777" w:rsidTr="0048001D">
        <w:trPr>
          <w:trHeight w:val="300"/>
        </w:trPr>
        <w:tc>
          <w:tcPr>
            <w:tcW w:w="2185" w:type="dxa"/>
            <w:shd w:val="clear" w:color="auto" w:fill="auto"/>
            <w:noWrap/>
            <w:vAlign w:val="center"/>
          </w:tcPr>
          <w:p w14:paraId="7933D69D" w14:textId="77777777" w:rsidR="00D1449D" w:rsidRPr="006F6FCC" w:rsidRDefault="00D1449D" w:rsidP="0048001D">
            <w:pPr>
              <w:jc w:val="both"/>
              <w:rPr>
                <w:rFonts w:eastAsiaTheme="minorHAnsi" w:cs="Arial"/>
                <w:szCs w:val="20"/>
              </w:rPr>
            </w:pPr>
            <w:r w:rsidRPr="006F6FCC">
              <w:rPr>
                <w:rFonts w:eastAsiaTheme="minorHAnsi" w:cs="Arial"/>
                <w:szCs w:val="20"/>
              </w:rPr>
              <w:t>Northwest Atlantic</w:t>
            </w:r>
          </w:p>
        </w:tc>
        <w:tc>
          <w:tcPr>
            <w:tcW w:w="2323" w:type="dxa"/>
            <w:vAlign w:val="center"/>
          </w:tcPr>
          <w:p w14:paraId="54BD3294" w14:textId="77777777" w:rsidR="00D1449D" w:rsidRPr="006F6FCC" w:rsidRDefault="00D1449D" w:rsidP="0048001D">
            <w:pPr>
              <w:jc w:val="both"/>
              <w:rPr>
                <w:rFonts w:eastAsiaTheme="minorHAnsi" w:cs="Arial"/>
                <w:szCs w:val="20"/>
              </w:rPr>
            </w:pPr>
            <w:r w:rsidRPr="006F6FCC">
              <w:rPr>
                <w:rFonts w:eastAsiaTheme="minorHAnsi" w:cs="Arial"/>
                <w:szCs w:val="20"/>
              </w:rPr>
              <w:t>Decline to early 2000s, then period of stability at a low level and recent increase</w:t>
            </w:r>
          </w:p>
        </w:tc>
        <w:tc>
          <w:tcPr>
            <w:tcW w:w="1830" w:type="dxa"/>
            <w:shd w:val="clear" w:color="auto" w:fill="auto"/>
            <w:noWrap/>
            <w:vAlign w:val="center"/>
          </w:tcPr>
          <w:p w14:paraId="794A472E" w14:textId="77777777" w:rsidR="00D1449D" w:rsidRPr="006F6FCC" w:rsidRDefault="00D1449D" w:rsidP="0048001D">
            <w:pPr>
              <w:jc w:val="both"/>
              <w:rPr>
                <w:rFonts w:cs="Arial"/>
                <w:szCs w:val="20"/>
              </w:rPr>
            </w:pPr>
            <w:r w:rsidRPr="006F6FCC">
              <w:rPr>
                <w:rFonts w:cs="Arial"/>
                <w:szCs w:val="20"/>
              </w:rPr>
              <w:t>1968-2008</w:t>
            </w:r>
          </w:p>
        </w:tc>
        <w:tc>
          <w:tcPr>
            <w:tcW w:w="3022" w:type="dxa"/>
            <w:shd w:val="clear" w:color="auto" w:fill="auto"/>
            <w:noWrap/>
            <w:vAlign w:val="center"/>
          </w:tcPr>
          <w:p w14:paraId="3199B3BC" w14:textId="77777777" w:rsidR="00D1449D" w:rsidRPr="006F6FCC" w:rsidRDefault="00D1449D" w:rsidP="0048001D">
            <w:pPr>
              <w:jc w:val="both"/>
              <w:rPr>
                <w:rFonts w:cs="Arial"/>
                <w:szCs w:val="20"/>
              </w:rPr>
            </w:pPr>
            <w:r w:rsidRPr="006F6FCC">
              <w:rPr>
                <w:rFonts w:cs="Arial"/>
                <w:szCs w:val="20"/>
              </w:rPr>
              <w:t>Rago &amp; Sosebee, 2010</w:t>
            </w:r>
          </w:p>
          <w:p w14:paraId="70910F3B" w14:textId="77777777" w:rsidR="00D1449D" w:rsidRPr="006F6FCC" w:rsidRDefault="00D1449D" w:rsidP="0048001D">
            <w:pPr>
              <w:jc w:val="both"/>
              <w:rPr>
                <w:rFonts w:cs="Arial"/>
                <w:szCs w:val="20"/>
              </w:rPr>
            </w:pPr>
            <w:r w:rsidRPr="006F6FCC">
              <w:rPr>
                <w:rFonts w:cs="Arial"/>
                <w:szCs w:val="20"/>
              </w:rPr>
              <w:t>NEFSC, 2006</w:t>
            </w:r>
          </w:p>
          <w:p w14:paraId="080245C5" w14:textId="77777777" w:rsidR="00D1449D" w:rsidRPr="006F6FCC" w:rsidRDefault="00D1449D" w:rsidP="0048001D">
            <w:pPr>
              <w:jc w:val="both"/>
              <w:rPr>
                <w:rFonts w:cs="Arial"/>
                <w:szCs w:val="20"/>
              </w:rPr>
            </w:pPr>
          </w:p>
          <w:p w14:paraId="5A3B4971" w14:textId="77777777" w:rsidR="00D1449D" w:rsidRPr="006F6FCC" w:rsidRDefault="00D1449D" w:rsidP="0048001D">
            <w:pPr>
              <w:jc w:val="both"/>
              <w:rPr>
                <w:rFonts w:cs="Arial"/>
                <w:szCs w:val="20"/>
              </w:rPr>
            </w:pPr>
          </w:p>
        </w:tc>
      </w:tr>
      <w:tr w:rsidR="00D1449D" w:rsidRPr="006F6FCC" w14:paraId="0AD73216" w14:textId="77777777" w:rsidTr="0048001D">
        <w:trPr>
          <w:trHeight w:val="300"/>
        </w:trPr>
        <w:tc>
          <w:tcPr>
            <w:tcW w:w="2185" w:type="dxa"/>
            <w:shd w:val="clear" w:color="auto" w:fill="auto"/>
            <w:noWrap/>
            <w:vAlign w:val="center"/>
          </w:tcPr>
          <w:p w14:paraId="770D7F62" w14:textId="77777777" w:rsidR="00D1449D" w:rsidRPr="006F6FCC" w:rsidRDefault="00D1449D" w:rsidP="0048001D">
            <w:pPr>
              <w:jc w:val="both"/>
              <w:rPr>
                <w:rFonts w:cs="Arial"/>
                <w:szCs w:val="20"/>
              </w:rPr>
            </w:pPr>
            <w:r w:rsidRPr="006F6FCC">
              <w:rPr>
                <w:rFonts w:cs="Arial"/>
                <w:szCs w:val="20"/>
              </w:rPr>
              <w:t>Black Sea</w:t>
            </w:r>
          </w:p>
        </w:tc>
        <w:tc>
          <w:tcPr>
            <w:tcW w:w="2323" w:type="dxa"/>
            <w:vAlign w:val="center"/>
          </w:tcPr>
          <w:p w14:paraId="5BDCC431" w14:textId="77777777" w:rsidR="00D1449D" w:rsidRPr="006F6FCC" w:rsidRDefault="00D1449D" w:rsidP="0048001D">
            <w:pPr>
              <w:jc w:val="both"/>
              <w:rPr>
                <w:rFonts w:cs="Arial"/>
                <w:szCs w:val="20"/>
              </w:rPr>
            </w:pPr>
            <w:r w:rsidRPr="006F6FCC">
              <w:rPr>
                <w:rFonts w:cs="Arial"/>
                <w:szCs w:val="20"/>
              </w:rPr>
              <w:t>&gt;60% decline</w:t>
            </w:r>
          </w:p>
        </w:tc>
        <w:tc>
          <w:tcPr>
            <w:tcW w:w="1830" w:type="dxa"/>
            <w:shd w:val="clear" w:color="auto" w:fill="auto"/>
            <w:noWrap/>
            <w:vAlign w:val="center"/>
          </w:tcPr>
          <w:p w14:paraId="3F5F73BA" w14:textId="77777777" w:rsidR="00D1449D" w:rsidRPr="006F6FCC" w:rsidRDefault="00D1449D" w:rsidP="0048001D">
            <w:pPr>
              <w:jc w:val="both"/>
              <w:rPr>
                <w:rFonts w:cs="Arial"/>
                <w:szCs w:val="20"/>
              </w:rPr>
            </w:pPr>
            <w:r w:rsidRPr="006F6FCC">
              <w:rPr>
                <w:rFonts w:cs="Arial"/>
                <w:szCs w:val="20"/>
              </w:rPr>
              <w:t>1981 to 1992</w:t>
            </w:r>
          </w:p>
        </w:tc>
        <w:tc>
          <w:tcPr>
            <w:tcW w:w="3022" w:type="dxa"/>
            <w:shd w:val="clear" w:color="auto" w:fill="auto"/>
            <w:noWrap/>
            <w:vAlign w:val="center"/>
          </w:tcPr>
          <w:p w14:paraId="4BE77DF0" w14:textId="77777777" w:rsidR="00D1449D" w:rsidRPr="006F6FCC" w:rsidRDefault="00D1449D" w:rsidP="0048001D">
            <w:pPr>
              <w:jc w:val="both"/>
              <w:rPr>
                <w:rFonts w:cs="Arial"/>
                <w:szCs w:val="20"/>
              </w:rPr>
            </w:pPr>
            <w:r w:rsidRPr="006F6FCC">
              <w:rPr>
                <w:rFonts w:cs="Arial"/>
                <w:szCs w:val="20"/>
              </w:rPr>
              <w:fldChar w:fldCharType="begin"/>
            </w:r>
            <w:r w:rsidRPr="006F6FCC">
              <w:rPr>
                <w:rFonts w:cs="Arial"/>
                <w:szCs w:val="20"/>
              </w:rPr>
              <w:instrText xml:space="preserve"> ADDIN EN.CITE &lt;EndNote&gt;&lt;Cite&gt;&lt;Author&gt;Prodanov&lt;/Author&gt;&lt;Year&gt;1997&lt;/Year&gt;&lt;RecNum&gt;510&lt;/RecNum&gt;&lt;DisplayText&gt;(Prodanov et al. 1997)&lt;/DisplayText&gt;&lt;record&gt;&lt;rec-number&gt;510&lt;/rec-number&gt;&lt;foreign-keys&gt;&lt;key app="EN" db-id="5zv95r90uwv55hew0xp59erdfvwvzfrf09s9" timestamp="1500887564"&gt;510&lt;/key&gt;&lt;/foreign-keys&gt;&lt;ref-type name="Book"&gt;6&lt;/ref-type&gt;&lt;contributors&gt;&lt;authors&gt;&lt;author&gt;Prodanov, K., &lt;/author&gt;&lt;author&gt;Mikhailov, K., &lt;/author&gt;&lt;author&gt;Daskalov, G., &lt;/author&gt;&lt;author&gt;Maxim, C., &lt;/author&gt;&lt;author&gt;Chashchin, A., &lt;/author&gt;&lt;author&gt;Arkhipov, A., &lt;/author&gt;&lt;author&gt;Shlyakhov, V., &lt;/author&gt;&lt;author&gt;Ozdamar,E.&lt;/author&gt;&lt;/authors&gt;&lt;/contributors&gt;&lt;titles&gt;&lt;title&gt;Environmental management of fish resources in the Black Sea and their rational exploitation&lt;/title&gt;&lt;/titles&gt;&lt;volume&gt;68&lt;/volume&gt;&lt;dates&gt;&lt;year&gt;1997&lt;/year&gt;&lt;/dates&gt;&lt;publisher&gt;Food &amp;amp; Agriculture Org.&lt;/publisher&gt;&lt;isbn&gt;9251039836&lt;/isbn&gt;&lt;urls&gt;&lt;/urls&gt;&lt;/record&gt;&lt;/Cite&gt;&lt;/EndNote&gt;</w:instrText>
            </w:r>
            <w:r w:rsidRPr="006F6FCC">
              <w:rPr>
                <w:rFonts w:cs="Arial"/>
                <w:szCs w:val="20"/>
              </w:rPr>
              <w:fldChar w:fldCharType="separate"/>
            </w:r>
            <w:r w:rsidRPr="006F6FCC">
              <w:rPr>
                <w:rFonts w:cs="Arial"/>
                <w:noProof/>
                <w:szCs w:val="20"/>
              </w:rPr>
              <w:t>(Prodanov et al. 1997)</w:t>
            </w:r>
            <w:r w:rsidRPr="006F6FCC">
              <w:rPr>
                <w:rFonts w:cs="Arial"/>
                <w:szCs w:val="20"/>
              </w:rPr>
              <w:fldChar w:fldCharType="end"/>
            </w:r>
          </w:p>
        </w:tc>
      </w:tr>
      <w:tr w:rsidR="00D1449D" w:rsidRPr="006F6FCC" w14:paraId="20EA8772" w14:textId="77777777" w:rsidTr="0048001D">
        <w:trPr>
          <w:trHeight w:val="300"/>
        </w:trPr>
        <w:tc>
          <w:tcPr>
            <w:tcW w:w="2185" w:type="dxa"/>
            <w:shd w:val="clear" w:color="auto" w:fill="auto"/>
            <w:noWrap/>
            <w:vAlign w:val="center"/>
          </w:tcPr>
          <w:p w14:paraId="7CA93DEC" w14:textId="43D7D773" w:rsidR="00D1449D" w:rsidRPr="006F6FCC" w:rsidRDefault="00D1449D" w:rsidP="0048001D">
            <w:pPr>
              <w:jc w:val="both"/>
              <w:rPr>
                <w:rFonts w:cs="Arial"/>
                <w:szCs w:val="20"/>
              </w:rPr>
            </w:pPr>
            <w:r w:rsidRPr="006F6FCC">
              <w:rPr>
                <w:rFonts w:cs="Arial"/>
                <w:szCs w:val="20"/>
              </w:rPr>
              <w:t>Mediterranean</w:t>
            </w:r>
            <w:r w:rsidR="007847E6" w:rsidRPr="006F6FCC">
              <w:rPr>
                <w:rFonts w:cs="Arial"/>
                <w:szCs w:val="20"/>
              </w:rPr>
              <w:t xml:space="preserve"> Sea</w:t>
            </w:r>
          </w:p>
        </w:tc>
        <w:tc>
          <w:tcPr>
            <w:tcW w:w="2323" w:type="dxa"/>
            <w:vAlign w:val="center"/>
          </w:tcPr>
          <w:p w14:paraId="03B96EF7" w14:textId="77777777" w:rsidR="00D1449D" w:rsidRPr="006F6FCC" w:rsidRDefault="00D1449D" w:rsidP="0048001D">
            <w:pPr>
              <w:jc w:val="both"/>
              <w:rPr>
                <w:rFonts w:cs="Arial"/>
                <w:szCs w:val="20"/>
              </w:rPr>
            </w:pPr>
            <w:r w:rsidRPr="006F6FCC">
              <w:rPr>
                <w:rFonts w:cs="Arial"/>
                <w:szCs w:val="20"/>
              </w:rPr>
              <w:t>Depleted</w:t>
            </w:r>
          </w:p>
        </w:tc>
        <w:tc>
          <w:tcPr>
            <w:tcW w:w="1830" w:type="dxa"/>
            <w:shd w:val="clear" w:color="auto" w:fill="auto"/>
            <w:noWrap/>
            <w:vAlign w:val="center"/>
          </w:tcPr>
          <w:p w14:paraId="7BE2A051" w14:textId="77777777" w:rsidR="00D1449D" w:rsidRPr="006F6FCC" w:rsidRDefault="00D1449D" w:rsidP="0048001D">
            <w:pPr>
              <w:jc w:val="both"/>
              <w:rPr>
                <w:rFonts w:cs="Arial"/>
                <w:szCs w:val="20"/>
              </w:rPr>
            </w:pPr>
          </w:p>
        </w:tc>
        <w:tc>
          <w:tcPr>
            <w:tcW w:w="3022" w:type="dxa"/>
            <w:shd w:val="clear" w:color="auto" w:fill="auto"/>
            <w:noWrap/>
            <w:vAlign w:val="center"/>
          </w:tcPr>
          <w:p w14:paraId="402D322C" w14:textId="77777777" w:rsidR="00D1449D" w:rsidRPr="006F6FCC" w:rsidRDefault="00D1449D" w:rsidP="0048001D">
            <w:pPr>
              <w:jc w:val="both"/>
              <w:rPr>
                <w:rFonts w:cs="Arial"/>
                <w:szCs w:val="20"/>
              </w:rPr>
            </w:pPr>
            <w:r w:rsidRPr="006F6FCC">
              <w:rPr>
                <w:rFonts w:cs="Arial"/>
                <w:szCs w:val="20"/>
              </w:rPr>
              <w:fldChar w:fldCharType="begin"/>
            </w:r>
            <w:r w:rsidRPr="006F6FCC">
              <w:rPr>
                <w:rFonts w:cs="Arial"/>
                <w:szCs w:val="20"/>
              </w:rPr>
              <w:instrText xml:space="preserve"> ADDIN EN.CITE &lt;EndNote&gt;&lt;Cite&gt;&lt;Author&gt;GFCM&lt;/Author&gt;&lt;Year&gt;2016&lt;/Year&gt;&lt;RecNum&gt;723&lt;/RecNum&gt;&lt;DisplayText&gt;(GFCM 2016)&lt;/DisplayText&gt;&lt;record&gt;&lt;rec-number&gt;723&lt;/rec-number&gt;&lt;foreign-keys&gt;&lt;key app="EN" db-id="5zv95r90uwv55hew0xp59erdfvwvzfrf09s9" timestamp="1506001352"&gt;723&lt;/key&gt;&lt;/foreign-keys&gt;&lt;ref-type name="Journal Article"&gt;17&lt;/ref-type&gt;&lt;contributors&gt;&lt;authors&gt;&lt;author&gt;GFCM&lt;/author&gt;&lt;/authors&gt;&lt;/contributors&gt;&lt;titles&gt;&lt;title&gt;Fourth meeting of the Subregional Group on Stock Assessment in the Black Sea (SGSABS). Burgas, Bulgaria, 15–19 November 2016. Final report, 28 pp. Available at http://www.fao.org/gfcm/reports/technical-meetings/detail/en/c/879801/ &lt;/title&gt;&lt;/titles&gt;&lt;dates&gt;&lt;year&gt;2016&lt;/year&gt;&lt;/dates&gt;&lt;urls&gt;&lt;/urls&gt;&lt;/record&gt;&lt;/Cite&gt;&lt;/EndNote&gt;</w:instrText>
            </w:r>
            <w:r w:rsidRPr="006F6FCC">
              <w:rPr>
                <w:rFonts w:cs="Arial"/>
                <w:szCs w:val="20"/>
              </w:rPr>
              <w:fldChar w:fldCharType="separate"/>
            </w:r>
            <w:r w:rsidRPr="006F6FCC">
              <w:rPr>
                <w:rFonts w:cs="Arial"/>
                <w:noProof/>
                <w:szCs w:val="20"/>
              </w:rPr>
              <w:t>(GFCM 2016)</w:t>
            </w:r>
            <w:r w:rsidRPr="006F6FCC">
              <w:rPr>
                <w:rFonts w:cs="Arial"/>
                <w:szCs w:val="20"/>
              </w:rPr>
              <w:fldChar w:fldCharType="end"/>
            </w:r>
          </w:p>
        </w:tc>
      </w:tr>
    </w:tbl>
    <w:p w14:paraId="605AE280" w14:textId="77777777" w:rsidR="00D1449D" w:rsidRPr="006F6FCC" w:rsidRDefault="00D1449D" w:rsidP="00D1449D">
      <w:pPr>
        <w:jc w:val="both"/>
        <w:rPr>
          <w:rFonts w:cs="Arial"/>
          <w:szCs w:val="20"/>
        </w:rPr>
      </w:pPr>
    </w:p>
    <w:p w14:paraId="19B02A49" w14:textId="77777777"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THREATS</w:t>
      </w:r>
    </w:p>
    <w:p w14:paraId="1652E792" w14:textId="5EABDA0F" w:rsidR="00D1449D" w:rsidRPr="006F6FCC" w:rsidRDefault="00D1449D" w:rsidP="00D1449D">
      <w:pPr>
        <w:pStyle w:val="ListParagraph"/>
        <w:widowControl/>
        <w:numPr>
          <w:ilvl w:val="0"/>
          <w:numId w:val="9"/>
        </w:numPr>
        <w:autoSpaceDE/>
        <w:autoSpaceDN/>
        <w:adjustRightInd/>
        <w:spacing w:after="12"/>
        <w:ind w:left="360" w:right="65"/>
        <w:jc w:val="both"/>
        <w:rPr>
          <w:rFonts w:eastAsiaTheme="minorHAnsi" w:cs="Arial"/>
          <w:sz w:val="22"/>
        </w:rPr>
      </w:pPr>
      <w:r w:rsidRPr="006F6FCC">
        <w:rPr>
          <w:rFonts w:cs="Arial"/>
          <w:b/>
          <w:sz w:val="22"/>
          <w:shd w:val="clear" w:color="auto" w:fill="FFFFFF"/>
        </w:rPr>
        <w:t xml:space="preserve">Fisheries: </w:t>
      </w:r>
      <w:r w:rsidRPr="006F6FCC">
        <w:rPr>
          <w:rFonts w:cs="Arial"/>
          <w:sz w:val="22"/>
          <w:shd w:val="clear" w:color="auto" w:fill="FFFFFF"/>
        </w:rPr>
        <w:t>S</w:t>
      </w:r>
      <w:r w:rsidRPr="006F6FCC">
        <w:rPr>
          <w:rFonts w:cs="Arial"/>
          <w:sz w:val="22"/>
        </w:rPr>
        <w:t xml:space="preserve">piny </w:t>
      </w:r>
      <w:r w:rsidR="007847E6" w:rsidRPr="006F6FCC">
        <w:rPr>
          <w:rFonts w:cs="Arial"/>
          <w:sz w:val="22"/>
        </w:rPr>
        <w:t>D</w:t>
      </w:r>
      <w:r w:rsidRPr="006F6FCC">
        <w:rPr>
          <w:rFonts w:cs="Arial"/>
          <w:sz w:val="22"/>
        </w:rPr>
        <w:t>ogfish is taken in trawl, gillnet and longline fisheries, and is, or has been, subject to target fisheries as well as a frequent bycatch</w:t>
      </w:r>
      <w:r w:rsidRPr="006F6FCC">
        <w:rPr>
          <w:rFonts w:eastAsiaTheme="minorHAnsi" w:cs="Arial"/>
          <w:sz w:val="22"/>
        </w:rPr>
        <w:t xml:space="preserve">. </w:t>
      </w:r>
    </w:p>
    <w:p w14:paraId="058A9699" w14:textId="77777777" w:rsidR="00D1449D" w:rsidRPr="006F6FCC" w:rsidRDefault="00D1449D" w:rsidP="00D1449D">
      <w:pPr>
        <w:jc w:val="both"/>
        <w:rPr>
          <w:rFonts w:cs="Arial"/>
          <w:sz w:val="22"/>
          <w:shd w:val="clear" w:color="auto" w:fill="FFFFFF"/>
        </w:rPr>
      </w:pPr>
    </w:p>
    <w:p w14:paraId="68B9CEE8" w14:textId="77777777" w:rsidR="00D1449D" w:rsidRPr="006F6FCC" w:rsidRDefault="00D1449D" w:rsidP="00D1449D">
      <w:pPr>
        <w:jc w:val="both"/>
        <w:rPr>
          <w:rFonts w:cs="Arial"/>
          <w:sz w:val="22"/>
        </w:rPr>
      </w:pPr>
    </w:p>
    <w:p w14:paraId="3B437FBC" w14:textId="77777777"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KEY KNOWLEDGE GAPS</w:t>
      </w:r>
    </w:p>
    <w:p w14:paraId="278826E4" w14:textId="1666811D" w:rsidR="00D1449D" w:rsidRPr="006F6FCC" w:rsidRDefault="00D1449D" w:rsidP="00D1449D">
      <w:pPr>
        <w:pStyle w:val="ListParagraph"/>
        <w:widowControl/>
        <w:numPr>
          <w:ilvl w:val="0"/>
          <w:numId w:val="6"/>
        </w:numPr>
        <w:autoSpaceDE/>
        <w:autoSpaceDN/>
        <w:adjustRightInd/>
        <w:ind w:left="360" w:right="65"/>
        <w:jc w:val="both"/>
        <w:rPr>
          <w:rFonts w:eastAsiaTheme="minorHAnsi" w:cs="Arial"/>
          <w:sz w:val="22"/>
        </w:rPr>
      </w:pPr>
      <w:r w:rsidRPr="006F6FCC">
        <w:rPr>
          <w:rFonts w:cs="Arial"/>
          <w:sz w:val="22"/>
          <w:shd w:val="clear" w:color="auto" w:fill="FFFFFF"/>
        </w:rPr>
        <w:t>H</w:t>
      </w:r>
      <w:r w:rsidRPr="006F6FCC">
        <w:rPr>
          <w:rFonts w:cs="Arial"/>
          <w:sz w:val="22"/>
        </w:rPr>
        <w:t xml:space="preserve">abitat </w:t>
      </w:r>
      <w:r w:rsidR="002336DA" w:rsidRPr="006F6FCC">
        <w:rPr>
          <w:rFonts w:cs="Arial"/>
          <w:sz w:val="22"/>
        </w:rPr>
        <w:t>utilization</w:t>
      </w:r>
      <w:r w:rsidRPr="006F6FCC">
        <w:rPr>
          <w:rFonts w:cs="Arial"/>
          <w:sz w:val="22"/>
        </w:rPr>
        <w:t xml:space="preserve"> and critical sites for relevant life</w:t>
      </w:r>
      <w:r w:rsidR="007847E6" w:rsidRPr="006F6FCC">
        <w:rPr>
          <w:rFonts w:cs="Arial"/>
          <w:sz w:val="22"/>
        </w:rPr>
        <w:t>-</w:t>
      </w:r>
      <w:r w:rsidRPr="006F6FCC">
        <w:rPr>
          <w:rFonts w:cs="Arial"/>
          <w:sz w:val="22"/>
        </w:rPr>
        <w:t>history stages</w:t>
      </w:r>
      <w:r w:rsidR="00C353AE" w:rsidRPr="006F6FCC">
        <w:rPr>
          <w:rFonts w:cs="Arial"/>
          <w:sz w:val="22"/>
        </w:rPr>
        <w:t>;</w:t>
      </w:r>
    </w:p>
    <w:p w14:paraId="2D48B945" w14:textId="7573EEDA" w:rsidR="00D1449D" w:rsidRPr="006F6FCC" w:rsidRDefault="00D1449D" w:rsidP="00D1449D">
      <w:pPr>
        <w:pStyle w:val="ListParagraph"/>
        <w:widowControl/>
        <w:numPr>
          <w:ilvl w:val="0"/>
          <w:numId w:val="6"/>
        </w:numPr>
        <w:autoSpaceDE/>
        <w:autoSpaceDN/>
        <w:adjustRightInd/>
        <w:ind w:left="360" w:right="65"/>
        <w:jc w:val="both"/>
        <w:rPr>
          <w:rFonts w:eastAsiaTheme="minorHAnsi" w:cs="Arial"/>
          <w:sz w:val="22"/>
        </w:rPr>
      </w:pPr>
      <w:r w:rsidRPr="006F6FCC">
        <w:rPr>
          <w:rFonts w:eastAsiaTheme="minorHAnsi" w:cs="Arial"/>
          <w:sz w:val="22"/>
        </w:rPr>
        <w:lastRenderedPageBreak/>
        <w:t>Estimates of discards and post-release survivorship</w:t>
      </w:r>
      <w:r w:rsidR="00C353AE" w:rsidRPr="006F6FCC">
        <w:rPr>
          <w:rFonts w:eastAsiaTheme="minorHAnsi" w:cs="Arial"/>
          <w:sz w:val="22"/>
        </w:rPr>
        <w:t>;</w:t>
      </w:r>
    </w:p>
    <w:p w14:paraId="59F847A2" w14:textId="6234908C" w:rsidR="00D1449D" w:rsidRPr="006F6FCC" w:rsidRDefault="00D1449D" w:rsidP="00D1449D">
      <w:pPr>
        <w:pStyle w:val="ListParagraph"/>
        <w:widowControl/>
        <w:numPr>
          <w:ilvl w:val="0"/>
          <w:numId w:val="6"/>
        </w:numPr>
        <w:ind w:left="360"/>
        <w:jc w:val="both"/>
        <w:rPr>
          <w:rFonts w:cs="Arial"/>
          <w:sz w:val="22"/>
          <w:shd w:val="clear" w:color="auto" w:fill="FFFFFF"/>
        </w:rPr>
      </w:pPr>
      <w:r w:rsidRPr="006F6FCC">
        <w:rPr>
          <w:rFonts w:eastAsiaTheme="minorHAnsi" w:cs="Arial"/>
          <w:sz w:val="22"/>
        </w:rPr>
        <w:t>Life-history data are available for the Atlantic stocks, but improved estimates for age and growth, and</w:t>
      </w:r>
      <w:r w:rsidR="00C353AE" w:rsidRPr="006F6FCC">
        <w:rPr>
          <w:rFonts w:eastAsiaTheme="minorHAnsi" w:cs="Arial"/>
          <w:sz w:val="22"/>
        </w:rPr>
        <w:t xml:space="preserve"> natural mortality are required;</w:t>
      </w:r>
    </w:p>
    <w:p w14:paraId="24E0FB34" w14:textId="07A30DA3" w:rsidR="00D1449D" w:rsidRPr="006F6FCC" w:rsidRDefault="00D1449D" w:rsidP="00D1449D">
      <w:pPr>
        <w:pStyle w:val="ListParagraph"/>
        <w:widowControl/>
        <w:numPr>
          <w:ilvl w:val="0"/>
          <w:numId w:val="6"/>
        </w:numPr>
        <w:ind w:left="360"/>
        <w:jc w:val="both"/>
        <w:rPr>
          <w:rFonts w:eastAsiaTheme="minorHAnsi" w:cs="Arial"/>
          <w:sz w:val="22"/>
        </w:rPr>
      </w:pPr>
      <w:r w:rsidRPr="006F6FCC">
        <w:rPr>
          <w:rFonts w:eastAsiaTheme="minorHAnsi" w:cs="Arial"/>
          <w:sz w:val="22"/>
        </w:rPr>
        <w:t>I</w:t>
      </w:r>
      <w:r w:rsidRPr="006F6FCC">
        <w:rPr>
          <w:rFonts w:cs="Arial"/>
          <w:sz w:val="22"/>
        </w:rPr>
        <w:t xml:space="preserve">mproved knowledge of both the Mediterranean Sea and Black Sea stocks are of high priority, including </w:t>
      </w:r>
      <w:r w:rsidR="00AD5226" w:rsidRPr="006F6FCC">
        <w:rPr>
          <w:rFonts w:cs="Arial"/>
          <w:sz w:val="22"/>
        </w:rPr>
        <w:t xml:space="preserve">confirmation of </w:t>
      </w:r>
      <w:r w:rsidRPr="006F6FCC">
        <w:rPr>
          <w:rFonts w:cs="Arial"/>
          <w:sz w:val="22"/>
        </w:rPr>
        <w:t xml:space="preserve">their taxonomic </w:t>
      </w:r>
      <w:r w:rsidR="00AD5226" w:rsidRPr="006F6FCC">
        <w:rPr>
          <w:rFonts w:cs="Arial"/>
          <w:sz w:val="22"/>
        </w:rPr>
        <w:t>status</w:t>
      </w:r>
      <w:r w:rsidRPr="006F6FCC">
        <w:rPr>
          <w:rFonts w:cs="Arial"/>
          <w:sz w:val="22"/>
        </w:rPr>
        <w:t>, population status and demographic structure.</w:t>
      </w:r>
    </w:p>
    <w:p w14:paraId="6611BC33" w14:textId="77777777" w:rsidR="00D1449D" w:rsidRPr="006F6FCC" w:rsidRDefault="00D1449D" w:rsidP="00D1449D">
      <w:pPr>
        <w:jc w:val="both"/>
        <w:rPr>
          <w:rFonts w:eastAsiaTheme="minorHAnsi" w:cs="Arial"/>
          <w:sz w:val="22"/>
        </w:rPr>
      </w:pPr>
    </w:p>
    <w:p w14:paraId="516DE737" w14:textId="77777777"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KEY MANAGEMENT AND CONSERVATION GAPS</w:t>
      </w:r>
    </w:p>
    <w:p w14:paraId="004BF809" w14:textId="3F965934" w:rsidR="00D1449D" w:rsidRPr="006F6FCC" w:rsidRDefault="00D1449D" w:rsidP="00D1449D">
      <w:pPr>
        <w:pStyle w:val="ListParagraph"/>
        <w:widowControl/>
        <w:numPr>
          <w:ilvl w:val="0"/>
          <w:numId w:val="10"/>
        </w:numPr>
        <w:autoSpaceDE/>
        <w:autoSpaceDN/>
        <w:adjustRightInd/>
        <w:ind w:left="360" w:right="65"/>
        <w:jc w:val="both"/>
        <w:rPr>
          <w:rFonts w:cs="Arial"/>
          <w:sz w:val="22"/>
        </w:rPr>
      </w:pPr>
      <w:r w:rsidRPr="006F6FCC">
        <w:rPr>
          <w:rFonts w:cs="Arial"/>
          <w:sz w:val="22"/>
          <w:shd w:val="clear" w:color="auto" w:fill="FFFFFF"/>
        </w:rPr>
        <w:t xml:space="preserve">Full stock assessments have only been conducted for the two </w:t>
      </w:r>
      <w:r w:rsidR="00AD5226" w:rsidRPr="006F6FCC">
        <w:rPr>
          <w:rFonts w:cs="Arial"/>
          <w:sz w:val="22"/>
          <w:shd w:val="clear" w:color="auto" w:fill="FFFFFF"/>
        </w:rPr>
        <w:t xml:space="preserve">North </w:t>
      </w:r>
      <w:r w:rsidRPr="006F6FCC">
        <w:rPr>
          <w:rFonts w:cs="Arial"/>
          <w:sz w:val="22"/>
          <w:shd w:val="clear" w:color="auto" w:fill="FFFFFF"/>
        </w:rPr>
        <w:t>Atlantic stocks. Improved knowledge of the Mediterranean and Black Sea stocks is required</w:t>
      </w:r>
      <w:r w:rsidR="00AD5226" w:rsidRPr="006F6FCC">
        <w:rPr>
          <w:rFonts w:cs="Arial"/>
          <w:sz w:val="22"/>
          <w:shd w:val="clear" w:color="auto" w:fill="FFFFFF"/>
        </w:rPr>
        <w:t>, in order to ascertain the current status of these stocks</w:t>
      </w:r>
      <w:r w:rsidRPr="006F6FCC">
        <w:rPr>
          <w:rFonts w:cs="Arial"/>
          <w:sz w:val="22"/>
          <w:shd w:val="clear" w:color="auto" w:fill="FFFFFF"/>
        </w:rPr>
        <w:t>.</w:t>
      </w:r>
    </w:p>
    <w:p w14:paraId="7D771695" w14:textId="77777777" w:rsidR="00D1449D" w:rsidRPr="006F6FCC" w:rsidRDefault="00D1449D" w:rsidP="00D1449D">
      <w:pPr>
        <w:pStyle w:val="ListParagraph"/>
        <w:widowControl/>
        <w:numPr>
          <w:ilvl w:val="0"/>
          <w:numId w:val="10"/>
        </w:numPr>
        <w:autoSpaceDE/>
        <w:autoSpaceDN/>
        <w:adjustRightInd/>
        <w:ind w:left="360" w:right="65"/>
        <w:jc w:val="both"/>
        <w:rPr>
          <w:rFonts w:cs="Arial"/>
          <w:sz w:val="22"/>
        </w:rPr>
      </w:pPr>
      <w:r w:rsidRPr="006F6FCC">
        <w:rPr>
          <w:rFonts w:cs="Arial"/>
          <w:sz w:val="22"/>
          <w:shd w:val="clear" w:color="auto" w:fill="FFFFFF"/>
        </w:rPr>
        <w:t>Identification of the most effective management measures (e.g. size limits, quotas, spatial management) and options for technical measures.</w:t>
      </w:r>
    </w:p>
    <w:p w14:paraId="5CAA3D80" w14:textId="77777777" w:rsidR="00D1449D" w:rsidRPr="006F6FCC" w:rsidRDefault="00D1449D" w:rsidP="00D1449D">
      <w:pPr>
        <w:jc w:val="both"/>
        <w:rPr>
          <w:rFonts w:eastAsiaTheme="minorHAnsi" w:cs="Arial"/>
          <w:sz w:val="22"/>
        </w:rPr>
      </w:pPr>
    </w:p>
    <w:p w14:paraId="0A064AF8" w14:textId="77777777"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RECOMMENDATIONS FOR CONSERVATION AND MANAGEMENT ACTION</w:t>
      </w:r>
    </w:p>
    <w:p w14:paraId="2E76BC0D" w14:textId="3C28959A" w:rsidR="00D1449D" w:rsidRPr="006F6FCC" w:rsidRDefault="00D1449D" w:rsidP="00D1449D">
      <w:pPr>
        <w:jc w:val="both"/>
        <w:rPr>
          <w:rFonts w:cs="Arial"/>
          <w:sz w:val="22"/>
        </w:rPr>
      </w:pPr>
      <w:r w:rsidRPr="006F6FCC">
        <w:rPr>
          <w:rFonts w:cs="Arial"/>
          <w:sz w:val="22"/>
        </w:rPr>
        <w:t xml:space="preserve">A multifaceted approach is required to address the management and conservation gaps for </w:t>
      </w:r>
      <w:r w:rsidR="00AD5226" w:rsidRPr="006F6FCC">
        <w:rPr>
          <w:rFonts w:cs="Arial"/>
          <w:sz w:val="22"/>
        </w:rPr>
        <w:t>Spiny Dogfish</w:t>
      </w:r>
      <w:r w:rsidRPr="006F6FCC">
        <w:rPr>
          <w:rFonts w:cs="Arial"/>
          <w:sz w:val="22"/>
        </w:rPr>
        <w:t>. Sharks MOU Signatories and other Range States are encouraged</w:t>
      </w:r>
      <w:r w:rsidR="002336DA" w:rsidRPr="006F6FCC">
        <w:rPr>
          <w:rFonts w:cs="Arial"/>
          <w:sz w:val="22"/>
        </w:rPr>
        <w:t xml:space="preserve"> to</w:t>
      </w:r>
      <w:r w:rsidRPr="006F6FCC">
        <w:rPr>
          <w:rFonts w:cs="Arial"/>
          <w:sz w:val="22"/>
        </w:rPr>
        <w:t>:</w:t>
      </w:r>
    </w:p>
    <w:p w14:paraId="1C18FBCB" w14:textId="77777777" w:rsidR="00D1449D" w:rsidRPr="006F6FCC" w:rsidRDefault="00D1449D" w:rsidP="00D1449D">
      <w:pPr>
        <w:jc w:val="both"/>
        <w:rPr>
          <w:rFonts w:eastAsiaTheme="minorHAnsi" w:cs="Arial"/>
          <w:sz w:val="22"/>
        </w:rPr>
      </w:pPr>
    </w:p>
    <w:p w14:paraId="05804FA6" w14:textId="0D38E183" w:rsidR="00D1449D" w:rsidRPr="006F6FCC" w:rsidRDefault="00D1449D" w:rsidP="00D1449D">
      <w:pPr>
        <w:pStyle w:val="ListParagraph"/>
        <w:widowControl/>
        <w:numPr>
          <w:ilvl w:val="0"/>
          <w:numId w:val="11"/>
        </w:numPr>
        <w:shd w:val="clear" w:color="auto" w:fill="FFFFFF"/>
        <w:autoSpaceDE/>
        <w:autoSpaceDN/>
        <w:adjustRightInd/>
        <w:ind w:left="432"/>
        <w:jc w:val="both"/>
        <w:rPr>
          <w:rFonts w:cs="Arial"/>
          <w:b/>
          <w:color w:val="262626"/>
          <w:sz w:val="22"/>
        </w:rPr>
      </w:pPr>
      <w:r w:rsidRPr="006F6FCC">
        <w:rPr>
          <w:rFonts w:cs="Arial"/>
          <w:b/>
          <w:sz w:val="22"/>
        </w:rPr>
        <w:t xml:space="preserve">Improve the understanding of </w:t>
      </w:r>
      <w:r w:rsidR="00AD5226" w:rsidRPr="006F6FCC">
        <w:rPr>
          <w:rFonts w:cs="Arial"/>
          <w:b/>
          <w:sz w:val="22"/>
        </w:rPr>
        <w:t>S</w:t>
      </w:r>
      <w:r w:rsidRPr="006F6FCC">
        <w:rPr>
          <w:rFonts w:cs="Arial"/>
          <w:b/>
          <w:sz w:val="22"/>
        </w:rPr>
        <w:t xml:space="preserve">piny </w:t>
      </w:r>
      <w:r w:rsidR="00AD5226" w:rsidRPr="006F6FCC">
        <w:rPr>
          <w:rFonts w:cs="Arial"/>
          <w:b/>
          <w:sz w:val="22"/>
        </w:rPr>
        <w:t>D</w:t>
      </w:r>
      <w:r w:rsidRPr="006F6FCC">
        <w:rPr>
          <w:rFonts w:cs="Arial"/>
          <w:b/>
          <w:sz w:val="22"/>
        </w:rPr>
        <w:t xml:space="preserve">ogfish through strategic research, monitoring and information exchange, including </w:t>
      </w:r>
      <w:r w:rsidRPr="006F6FCC">
        <w:rPr>
          <w:rFonts w:cs="Arial"/>
          <w:b/>
          <w:color w:val="262626"/>
          <w:sz w:val="22"/>
        </w:rPr>
        <w:t>distributional data and population status</w:t>
      </w:r>
    </w:p>
    <w:p w14:paraId="7B1DA48C" w14:textId="77777777" w:rsidR="002336DA" w:rsidRPr="006F6FCC" w:rsidRDefault="002336DA" w:rsidP="002336DA">
      <w:pPr>
        <w:pStyle w:val="ListParagraph"/>
        <w:widowControl/>
        <w:shd w:val="clear" w:color="auto" w:fill="FFFFFF"/>
        <w:autoSpaceDE/>
        <w:autoSpaceDN/>
        <w:adjustRightInd/>
        <w:ind w:left="432"/>
        <w:jc w:val="both"/>
        <w:rPr>
          <w:rFonts w:cs="Arial"/>
          <w:b/>
          <w:color w:val="262626"/>
          <w:sz w:val="22"/>
        </w:rPr>
      </w:pPr>
    </w:p>
    <w:p w14:paraId="267C4FEC" w14:textId="41E604FA" w:rsidR="00D1449D" w:rsidRPr="006F6FCC" w:rsidRDefault="00D1449D" w:rsidP="00D1449D">
      <w:pPr>
        <w:pStyle w:val="ListParagraph"/>
        <w:widowControl/>
        <w:numPr>
          <w:ilvl w:val="0"/>
          <w:numId w:val="7"/>
        </w:numPr>
        <w:jc w:val="both"/>
        <w:rPr>
          <w:rFonts w:cs="Arial"/>
          <w:sz w:val="22"/>
        </w:rPr>
      </w:pPr>
      <w:r w:rsidRPr="006F6FCC">
        <w:rPr>
          <w:rFonts w:cs="Arial"/>
          <w:sz w:val="22"/>
        </w:rPr>
        <w:t xml:space="preserve">Identify critical sites for </w:t>
      </w:r>
      <w:r w:rsidR="00AD5226" w:rsidRPr="006F6FCC">
        <w:rPr>
          <w:rFonts w:cs="Arial"/>
          <w:sz w:val="22"/>
        </w:rPr>
        <w:t>Spiny Dogfish</w:t>
      </w:r>
      <w:r w:rsidR="002336DA" w:rsidRPr="006F6FCC">
        <w:rPr>
          <w:rFonts w:cs="Arial"/>
          <w:sz w:val="22"/>
        </w:rPr>
        <w:t>;</w:t>
      </w:r>
    </w:p>
    <w:p w14:paraId="0A12E88E" w14:textId="2EBE7653" w:rsidR="00D1449D" w:rsidRPr="006F6FCC" w:rsidRDefault="00D1449D" w:rsidP="00D1449D">
      <w:pPr>
        <w:pStyle w:val="ListParagraph"/>
        <w:widowControl/>
        <w:numPr>
          <w:ilvl w:val="0"/>
          <w:numId w:val="7"/>
        </w:numPr>
        <w:jc w:val="both"/>
        <w:rPr>
          <w:rFonts w:cs="Arial"/>
          <w:sz w:val="22"/>
        </w:rPr>
      </w:pPr>
      <w:r w:rsidRPr="006F6FCC">
        <w:rPr>
          <w:rFonts w:eastAsiaTheme="minorHAnsi" w:cs="Arial"/>
          <w:sz w:val="22"/>
        </w:rPr>
        <w:t>Improved estimation of discards, including post-release survivorship</w:t>
      </w:r>
      <w:r w:rsidR="002336DA" w:rsidRPr="006F6FCC">
        <w:rPr>
          <w:rFonts w:eastAsiaTheme="minorHAnsi" w:cs="Arial"/>
          <w:sz w:val="22"/>
        </w:rPr>
        <w:t>;</w:t>
      </w:r>
    </w:p>
    <w:p w14:paraId="12703E92" w14:textId="5A301E17" w:rsidR="00D1449D" w:rsidRPr="006F6FCC" w:rsidRDefault="00D1449D" w:rsidP="00D1449D">
      <w:pPr>
        <w:widowControl/>
        <w:numPr>
          <w:ilvl w:val="0"/>
          <w:numId w:val="7"/>
        </w:numPr>
        <w:contextualSpacing/>
        <w:jc w:val="both"/>
        <w:rPr>
          <w:rFonts w:cs="Arial"/>
          <w:sz w:val="22"/>
        </w:rPr>
      </w:pPr>
      <w:r w:rsidRPr="006F6FCC">
        <w:rPr>
          <w:rFonts w:cs="Arial"/>
          <w:sz w:val="22"/>
        </w:rPr>
        <w:t>Address data gaps in biological know</w:t>
      </w:r>
      <w:r w:rsidR="002336DA" w:rsidRPr="006F6FCC">
        <w:rPr>
          <w:rFonts w:cs="Arial"/>
          <w:sz w:val="22"/>
        </w:rPr>
        <w:t>ledge (life</w:t>
      </w:r>
      <w:r w:rsidR="00AD5226" w:rsidRPr="006F6FCC">
        <w:rPr>
          <w:rFonts w:cs="Arial"/>
          <w:sz w:val="22"/>
        </w:rPr>
        <w:t>-</w:t>
      </w:r>
      <w:r w:rsidR="002336DA" w:rsidRPr="006F6FCC">
        <w:rPr>
          <w:rFonts w:cs="Arial"/>
          <w:sz w:val="22"/>
        </w:rPr>
        <w:t>history parameters)</w:t>
      </w:r>
      <w:r w:rsidR="00AD5226" w:rsidRPr="006F6FCC">
        <w:rPr>
          <w:rFonts w:cs="Arial"/>
          <w:sz w:val="22"/>
        </w:rPr>
        <w:t>, including updated studies of age and growth, and natural mortality</w:t>
      </w:r>
      <w:r w:rsidR="002336DA" w:rsidRPr="006F6FCC">
        <w:rPr>
          <w:rFonts w:cs="Arial"/>
          <w:sz w:val="22"/>
        </w:rPr>
        <w:t>;</w:t>
      </w:r>
    </w:p>
    <w:p w14:paraId="771D163E" w14:textId="02FF4318" w:rsidR="00D1449D" w:rsidRPr="006F6FCC" w:rsidRDefault="00D1449D" w:rsidP="00D1449D">
      <w:pPr>
        <w:widowControl/>
        <w:numPr>
          <w:ilvl w:val="0"/>
          <w:numId w:val="7"/>
        </w:numPr>
        <w:contextualSpacing/>
        <w:jc w:val="both"/>
        <w:rPr>
          <w:rFonts w:cs="Arial"/>
          <w:sz w:val="22"/>
        </w:rPr>
      </w:pPr>
      <w:r w:rsidRPr="006F6FCC">
        <w:rPr>
          <w:rFonts w:cs="Arial"/>
          <w:sz w:val="22"/>
        </w:rPr>
        <w:t>Con</w:t>
      </w:r>
      <w:r w:rsidR="00AD5226" w:rsidRPr="006F6FCC">
        <w:rPr>
          <w:rFonts w:cs="Arial"/>
          <w:sz w:val="22"/>
        </w:rPr>
        <w:t>tinue the</w:t>
      </w:r>
      <w:r w:rsidRPr="006F6FCC">
        <w:rPr>
          <w:rFonts w:cs="Arial"/>
          <w:sz w:val="22"/>
        </w:rPr>
        <w:t xml:space="preserve"> long</w:t>
      </w:r>
      <w:r w:rsidR="00AD5226" w:rsidRPr="006F6FCC">
        <w:rPr>
          <w:rFonts w:cs="Arial"/>
          <w:sz w:val="22"/>
        </w:rPr>
        <w:t>er</w:t>
      </w:r>
      <w:r w:rsidRPr="006F6FCC">
        <w:rPr>
          <w:rFonts w:cs="Arial"/>
          <w:sz w:val="22"/>
        </w:rPr>
        <w:t xml:space="preserve">-term monitoring of </w:t>
      </w:r>
      <w:r w:rsidR="00AD5226" w:rsidRPr="006F6FCC">
        <w:rPr>
          <w:rFonts w:cs="Arial"/>
          <w:sz w:val="22"/>
        </w:rPr>
        <w:t xml:space="preserve">Spiny Dogfish </w:t>
      </w:r>
      <w:r w:rsidRPr="006F6FCC">
        <w:rPr>
          <w:rFonts w:cs="Arial"/>
          <w:sz w:val="22"/>
        </w:rPr>
        <w:t>populations</w:t>
      </w:r>
      <w:r w:rsidR="00AD5226" w:rsidRPr="006F6FCC">
        <w:rPr>
          <w:rFonts w:cs="Arial"/>
          <w:sz w:val="22"/>
        </w:rPr>
        <w:t>, including updated analyses of trawl survey data</w:t>
      </w:r>
      <w:r w:rsidR="002336DA" w:rsidRPr="006F6FCC">
        <w:rPr>
          <w:rFonts w:cs="Arial"/>
          <w:sz w:val="22"/>
        </w:rPr>
        <w:t>;</w:t>
      </w:r>
    </w:p>
    <w:p w14:paraId="31EB32FF" w14:textId="15BDACB7" w:rsidR="00D1449D" w:rsidRPr="006F6FCC" w:rsidRDefault="00AD5226" w:rsidP="00D1449D">
      <w:pPr>
        <w:widowControl/>
        <w:numPr>
          <w:ilvl w:val="0"/>
          <w:numId w:val="7"/>
        </w:numPr>
        <w:contextualSpacing/>
        <w:jc w:val="both"/>
        <w:rPr>
          <w:rFonts w:cs="Arial"/>
          <w:sz w:val="22"/>
        </w:rPr>
      </w:pPr>
      <w:r w:rsidRPr="006F6FCC">
        <w:rPr>
          <w:rFonts w:cs="Arial"/>
          <w:sz w:val="22"/>
        </w:rPr>
        <w:t>Further refine</w:t>
      </w:r>
      <w:r w:rsidR="00D1449D" w:rsidRPr="006F6FCC">
        <w:rPr>
          <w:rFonts w:cs="Arial"/>
          <w:sz w:val="22"/>
        </w:rPr>
        <w:t xml:space="preserve"> stock assessment</w:t>
      </w:r>
      <w:r w:rsidRPr="006F6FCC">
        <w:rPr>
          <w:rFonts w:cs="Arial"/>
          <w:sz w:val="22"/>
        </w:rPr>
        <w:t xml:space="preserve"> methods</w:t>
      </w:r>
      <w:r w:rsidR="00D1449D" w:rsidRPr="006F6FCC">
        <w:rPr>
          <w:rFonts w:cs="Arial"/>
          <w:sz w:val="22"/>
        </w:rPr>
        <w:t xml:space="preserve"> in cooperation with RFMOs in all areas</w:t>
      </w:r>
      <w:r w:rsidR="002336DA" w:rsidRPr="006F6FCC">
        <w:rPr>
          <w:rFonts w:cs="Arial"/>
          <w:sz w:val="22"/>
        </w:rPr>
        <w:t>;</w:t>
      </w:r>
    </w:p>
    <w:p w14:paraId="27103ED3" w14:textId="6FD4D92D" w:rsidR="00D1449D" w:rsidRPr="006F6FCC" w:rsidRDefault="00D1449D" w:rsidP="00D1449D">
      <w:pPr>
        <w:widowControl/>
        <w:numPr>
          <w:ilvl w:val="0"/>
          <w:numId w:val="7"/>
        </w:numPr>
        <w:contextualSpacing/>
        <w:jc w:val="both"/>
        <w:rPr>
          <w:rFonts w:cs="Arial"/>
          <w:sz w:val="22"/>
        </w:rPr>
      </w:pPr>
      <w:r w:rsidRPr="006F6FCC">
        <w:rPr>
          <w:rFonts w:cs="Arial"/>
          <w:sz w:val="22"/>
        </w:rPr>
        <w:t xml:space="preserve">Further investigate post-release survivorship of </w:t>
      </w:r>
      <w:r w:rsidR="00AD5226" w:rsidRPr="006F6FCC">
        <w:rPr>
          <w:rFonts w:cs="Arial"/>
          <w:sz w:val="22"/>
        </w:rPr>
        <w:t xml:space="preserve">Spiny Dogfish </w:t>
      </w:r>
      <w:r w:rsidRPr="006F6FCC">
        <w:rPr>
          <w:rFonts w:cs="Arial"/>
          <w:sz w:val="22"/>
        </w:rPr>
        <w:t>to inform improved handling and release protocols, and options for technical measures</w:t>
      </w:r>
      <w:r w:rsidR="002336DA" w:rsidRPr="006F6FCC">
        <w:rPr>
          <w:rFonts w:cs="Arial"/>
          <w:sz w:val="22"/>
        </w:rPr>
        <w:t>;</w:t>
      </w:r>
    </w:p>
    <w:p w14:paraId="3546E47E" w14:textId="2897966A" w:rsidR="00D1449D" w:rsidRPr="006F6FCC" w:rsidRDefault="00D1449D" w:rsidP="00D1449D">
      <w:pPr>
        <w:widowControl/>
        <w:numPr>
          <w:ilvl w:val="0"/>
          <w:numId w:val="7"/>
        </w:numPr>
        <w:contextualSpacing/>
        <w:jc w:val="both"/>
        <w:rPr>
          <w:rFonts w:cs="Arial"/>
          <w:sz w:val="22"/>
        </w:rPr>
      </w:pPr>
      <w:r w:rsidRPr="006F6FCC">
        <w:rPr>
          <w:rFonts w:cs="Arial"/>
          <w:sz w:val="22"/>
        </w:rPr>
        <w:t xml:space="preserve">Improve capacity in species identification through training and the </w:t>
      </w:r>
      <w:r w:rsidR="002336DA" w:rsidRPr="006F6FCC">
        <w:rPr>
          <w:rFonts w:cs="Arial"/>
          <w:sz w:val="22"/>
        </w:rPr>
        <w:t>dissemination</w:t>
      </w:r>
      <w:r w:rsidRPr="006F6FCC">
        <w:rPr>
          <w:rFonts w:cs="Arial"/>
          <w:sz w:val="22"/>
        </w:rPr>
        <w:t xml:space="preserve"> of available ID guidelines</w:t>
      </w:r>
      <w:r w:rsidR="00AD5226" w:rsidRPr="006F6FCC">
        <w:rPr>
          <w:rFonts w:cs="Arial"/>
          <w:sz w:val="22"/>
        </w:rPr>
        <w:t xml:space="preserve"> for those areas where other members of the genus occur</w:t>
      </w:r>
      <w:r w:rsidRPr="006F6FCC">
        <w:rPr>
          <w:rFonts w:cs="Arial"/>
          <w:sz w:val="22"/>
        </w:rPr>
        <w:t xml:space="preserve">. </w:t>
      </w:r>
    </w:p>
    <w:p w14:paraId="7BB88651" w14:textId="77777777" w:rsidR="00D1449D" w:rsidRPr="006F6FCC" w:rsidRDefault="00D1449D" w:rsidP="00D1449D">
      <w:pPr>
        <w:contextualSpacing/>
        <w:jc w:val="both"/>
        <w:rPr>
          <w:rFonts w:cs="Arial"/>
          <w:b/>
          <w:sz w:val="22"/>
        </w:rPr>
      </w:pPr>
    </w:p>
    <w:p w14:paraId="7105DBBE" w14:textId="5574E10A" w:rsidR="00D1449D" w:rsidRPr="006F6FCC" w:rsidRDefault="00D1449D" w:rsidP="00D1449D">
      <w:pPr>
        <w:pStyle w:val="ListParagraph"/>
        <w:widowControl/>
        <w:numPr>
          <w:ilvl w:val="0"/>
          <w:numId w:val="11"/>
        </w:numPr>
        <w:autoSpaceDE/>
        <w:autoSpaceDN/>
        <w:adjustRightInd/>
        <w:spacing w:after="12"/>
        <w:ind w:left="432" w:right="65"/>
        <w:jc w:val="both"/>
        <w:rPr>
          <w:rFonts w:cs="Arial"/>
          <w:sz w:val="22"/>
        </w:rPr>
      </w:pPr>
      <w:r w:rsidRPr="006F6FCC">
        <w:rPr>
          <w:rFonts w:cs="Arial"/>
          <w:b/>
          <w:sz w:val="22"/>
        </w:rPr>
        <w:t>Improve multilateral cooperation among regions &amp; RFBs</w:t>
      </w:r>
    </w:p>
    <w:p w14:paraId="7FEA1438" w14:textId="77777777" w:rsidR="002336DA" w:rsidRPr="006F6FCC" w:rsidRDefault="002336DA" w:rsidP="002336DA">
      <w:pPr>
        <w:pStyle w:val="ListParagraph"/>
        <w:widowControl/>
        <w:autoSpaceDE/>
        <w:autoSpaceDN/>
        <w:adjustRightInd/>
        <w:spacing w:after="12"/>
        <w:ind w:left="432" w:right="65"/>
        <w:jc w:val="both"/>
        <w:rPr>
          <w:rFonts w:cs="Arial"/>
          <w:sz w:val="22"/>
        </w:rPr>
      </w:pPr>
    </w:p>
    <w:p w14:paraId="08CBEDDB" w14:textId="47163FFF" w:rsidR="00D1449D" w:rsidRPr="006F6FCC" w:rsidRDefault="00D1449D" w:rsidP="00D1449D">
      <w:pPr>
        <w:widowControl/>
        <w:numPr>
          <w:ilvl w:val="0"/>
          <w:numId w:val="8"/>
        </w:numPr>
        <w:contextualSpacing/>
        <w:jc w:val="both"/>
        <w:rPr>
          <w:rFonts w:cs="Arial"/>
          <w:sz w:val="22"/>
        </w:rPr>
      </w:pPr>
      <w:r w:rsidRPr="006F6FCC">
        <w:rPr>
          <w:rFonts w:cs="Arial"/>
          <w:sz w:val="22"/>
        </w:rPr>
        <w:t>Support the introduction of appropriate management measures for</w:t>
      </w:r>
      <w:r w:rsidR="002336DA" w:rsidRPr="006F6FCC">
        <w:rPr>
          <w:rFonts w:cs="Arial"/>
          <w:sz w:val="22"/>
        </w:rPr>
        <w:t xml:space="preserve"> </w:t>
      </w:r>
      <w:r w:rsidR="00AD5226" w:rsidRPr="006F6FCC">
        <w:rPr>
          <w:rFonts w:cs="Arial"/>
          <w:sz w:val="22"/>
        </w:rPr>
        <w:t xml:space="preserve">Spiny Dogfish </w:t>
      </w:r>
      <w:r w:rsidR="002336DA" w:rsidRPr="006F6FCC">
        <w:rPr>
          <w:rFonts w:cs="Arial"/>
          <w:sz w:val="22"/>
        </w:rPr>
        <w:t>at regional fora;</w:t>
      </w:r>
    </w:p>
    <w:p w14:paraId="12709858" w14:textId="4FD33EB2" w:rsidR="00D1449D" w:rsidRPr="006F6FCC" w:rsidRDefault="00D1449D" w:rsidP="00D1449D">
      <w:pPr>
        <w:pStyle w:val="ListParagraph"/>
        <w:widowControl/>
        <w:numPr>
          <w:ilvl w:val="0"/>
          <w:numId w:val="8"/>
        </w:numPr>
        <w:jc w:val="both"/>
        <w:rPr>
          <w:rFonts w:cs="Arial"/>
          <w:sz w:val="22"/>
        </w:rPr>
      </w:pPr>
      <w:r w:rsidRPr="006F6FCC">
        <w:rPr>
          <w:rFonts w:cs="Arial"/>
          <w:sz w:val="22"/>
          <w:shd w:val="clear" w:color="auto" w:fill="FFFFFF"/>
        </w:rPr>
        <w:t xml:space="preserve">Support development and implementation of appropriate management plans for </w:t>
      </w:r>
      <w:r w:rsidR="00AD5226" w:rsidRPr="006F6FCC">
        <w:rPr>
          <w:rFonts w:cs="Arial"/>
          <w:sz w:val="22"/>
          <w:shd w:val="clear" w:color="auto" w:fill="FFFFFF"/>
        </w:rPr>
        <w:t>Spiny Dogfish</w:t>
      </w:r>
      <w:r w:rsidRPr="006F6FCC">
        <w:rPr>
          <w:rFonts w:cs="Arial"/>
          <w:sz w:val="22"/>
          <w:shd w:val="clear" w:color="auto" w:fill="FFFFFF"/>
        </w:rPr>
        <w:t xml:space="preserve"> stocks</w:t>
      </w:r>
    </w:p>
    <w:p w14:paraId="04911AC6" w14:textId="704EA586" w:rsidR="00D1449D" w:rsidRPr="006F6FCC" w:rsidRDefault="00D1449D" w:rsidP="00D1449D">
      <w:pPr>
        <w:pStyle w:val="ListParagraph"/>
        <w:widowControl/>
        <w:numPr>
          <w:ilvl w:val="0"/>
          <w:numId w:val="8"/>
        </w:numPr>
        <w:jc w:val="both"/>
        <w:rPr>
          <w:rFonts w:cs="Arial"/>
          <w:sz w:val="22"/>
        </w:rPr>
      </w:pPr>
      <w:r w:rsidRPr="006F6FCC">
        <w:rPr>
          <w:rFonts w:eastAsiaTheme="minorHAnsi" w:cs="Arial"/>
          <w:sz w:val="22"/>
        </w:rPr>
        <w:t>Identify synergies with other Range States/stakeholders to support coordinated and resource-effective research programs, with special reference to Mediterranean Sea and Black Sea</w:t>
      </w:r>
      <w:r w:rsidR="002336DA" w:rsidRPr="006F6FCC">
        <w:rPr>
          <w:rFonts w:eastAsiaTheme="minorHAnsi" w:cs="Arial"/>
          <w:sz w:val="22"/>
        </w:rPr>
        <w:t>.</w:t>
      </w:r>
    </w:p>
    <w:p w14:paraId="4DBCD740" w14:textId="77777777" w:rsidR="00D1449D" w:rsidRPr="006F6FCC" w:rsidRDefault="00D1449D" w:rsidP="00D1449D">
      <w:pPr>
        <w:jc w:val="both"/>
        <w:rPr>
          <w:rFonts w:cs="Arial"/>
          <w:sz w:val="22"/>
        </w:rPr>
      </w:pPr>
    </w:p>
    <w:p w14:paraId="3062436A" w14:textId="5AEB5886" w:rsidR="002336DA" w:rsidRPr="006F6FCC" w:rsidRDefault="00A90DA4" w:rsidP="002336DA">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LEGAL INSTRUMENTS</w:t>
      </w:r>
    </w:p>
    <w:p w14:paraId="44C10C61" w14:textId="77777777" w:rsidR="002336DA" w:rsidRPr="006F6FCC" w:rsidRDefault="002336DA" w:rsidP="002336DA">
      <w:pPr>
        <w:rPr>
          <w:rFonts w:cs="Arial"/>
        </w:rPr>
      </w:pPr>
    </w:p>
    <w:tbl>
      <w:tblPr>
        <w:tblStyle w:val="TableGrid"/>
        <w:tblW w:w="0" w:type="auto"/>
        <w:tblInd w:w="108" w:type="dxa"/>
        <w:tblLook w:val="04A0" w:firstRow="1" w:lastRow="0" w:firstColumn="1" w:lastColumn="0" w:noHBand="0" w:noVBand="1"/>
      </w:tblPr>
      <w:tblGrid>
        <w:gridCol w:w="3055"/>
        <w:gridCol w:w="6187"/>
      </w:tblGrid>
      <w:tr w:rsidR="002336DA" w:rsidRPr="006F6FCC" w14:paraId="70B2017A" w14:textId="77777777" w:rsidTr="002336DA">
        <w:trPr>
          <w:tblHeader/>
        </w:trPr>
        <w:tc>
          <w:tcPr>
            <w:tcW w:w="3055" w:type="dxa"/>
            <w:shd w:val="clear" w:color="auto" w:fill="D0CECE" w:themeFill="background2" w:themeFillShade="E6"/>
            <w:vAlign w:val="center"/>
          </w:tcPr>
          <w:p w14:paraId="3D04BB08" w14:textId="77777777" w:rsidR="002336DA" w:rsidRPr="006F6FCC" w:rsidRDefault="002336DA" w:rsidP="0095600C">
            <w:pPr>
              <w:jc w:val="both"/>
              <w:rPr>
                <w:rFonts w:cs="Arial"/>
                <w:szCs w:val="18"/>
              </w:rPr>
            </w:pPr>
            <w:bookmarkStart w:id="0" w:name="_Hlk520880250"/>
            <w:r w:rsidRPr="006F6FCC">
              <w:rPr>
                <w:rFonts w:cs="Arial"/>
                <w:szCs w:val="18"/>
              </w:rPr>
              <w:t>Instrument</w:t>
            </w:r>
          </w:p>
        </w:tc>
        <w:tc>
          <w:tcPr>
            <w:tcW w:w="6187" w:type="dxa"/>
            <w:shd w:val="clear" w:color="auto" w:fill="D0CECE" w:themeFill="background2" w:themeFillShade="E6"/>
            <w:vAlign w:val="center"/>
          </w:tcPr>
          <w:p w14:paraId="7987FAEB" w14:textId="77777777" w:rsidR="002336DA" w:rsidRPr="006F6FCC" w:rsidRDefault="002336DA" w:rsidP="0095600C">
            <w:pPr>
              <w:jc w:val="both"/>
              <w:rPr>
                <w:rFonts w:cs="Arial"/>
                <w:szCs w:val="18"/>
              </w:rPr>
            </w:pPr>
            <w:r w:rsidRPr="006F6FCC">
              <w:rPr>
                <w:rFonts w:cs="Arial"/>
                <w:szCs w:val="18"/>
              </w:rPr>
              <w:t>Description</w:t>
            </w:r>
          </w:p>
        </w:tc>
      </w:tr>
      <w:tr w:rsidR="002336DA" w:rsidRPr="006F6FCC" w14:paraId="2D2302D3" w14:textId="77777777" w:rsidTr="002336DA">
        <w:trPr>
          <w:trHeight w:val="1217"/>
        </w:trPr>
        <w:tc>
          <w:tcPr>
            <w:tcW w:w="3055" w:type="dxa"/>
            <w:vAlign w:val="center"/>
          </w:tcPr>
          <w:p w14:paraId="77EFAC1D" w14:textId="77777777" w:rsidR="002336DA" w:rsidRPr="006F6FCC" w:rsidRDefault="002336DA" w:rsidP="0095600C">
            <w:pPr>
              <w:jc w:val="both"/>
              <w:rPr>
                <w:rFonts w:cs="Arial"/>
                <w:b/>
                <w:szCs w:val="18"/>
                <w:lang w:val="en-US"/>
              </w:rPr>
            </w:pPr>
            <w:r w:rsidRPr="006F6FCC">
              <w:rPr>
                <w:rFonts w:cs="Arial"/>
                <w:b/>
                <w:szCs w:val="18"/>
                <w:lang w:val="en-US"/>
              </w:rPr>
              <w:t>Barcelona Convention</w:t>
            </w:r>
          </w:p>
          <w:p w14:paraId="40AACC0C" w14:textId="77777777" w:rsidR="002336DA" w:rsidRPr="006F6FCC" w:rsidRDefault="002336DA" w:rsidP="00827995">
            <w:pPr>
              <w:rPr>
                <w:rFonts w:cs="Arial"/>
                <w:szCs w:val="18"/>
                <w:lang w:val="en-US"/>
              </w:rPr>
            </w:pPr>
            <w:r w:rsidRPr="006F6FCC">
              <w:rPr>
                <w:rFonts w:cs="Arial"/>
                <w:szCs w:val="18"/>
                <w:lang w:val="en-US"/>
              </w:rPr>
              <w:t>Barcelona Convention for the Protection of the Marine Environment and the Coastal Region of the Mediterranean</w:t>
            </w:r>
          </w:p>
        </w:tc>
        <w:tc>
          <w:tcPr>
            <w:tcW w:w="6187" w:type="dxa"/>
            <w:vAlign w:val="center"/>
          </w:tcPr>
          <w:p w14:paraId="7362B768" w14:textId="77777777" w:rsidR="002336DA" w:rsidRPr="006F6FCC" w:rsidRDefault="002336DA" w:rsidP="0095600C">
            <w:pPr>
              <w:pStyle w:val="NormalWeb"/>
              <w:spacing w:before="0" w:after="0"/>
              <w:jc w:val="both"/>
              <w:textAlignment w:val="baseline"/>
              <w:rPr>
                <w:rFonts w:ascii="Arial" w:hAnsi="Arial" w:cs="Arial"/>
                <w:color w:val="000000"/>
                <w:sz w:val="18"/>
                <w:szCs w:val="18"/>
                <w:lang w:val="en-US"/>
              </w:rPr>
            </w:pPr>
            <w:r w:rsidRPr="006F6FCC">
              <w:rPr>
                <w:rFonts w:ascii="Arial" w:hAnsi="Arial" w:cs="Arial"/>
                <w:b/>
                <w:color w:val="000000"/>
                <w:sz w:val="18"/>
                <w:szCs w:val="18"/>
                <w:u w:val="single"/>
                <w:lang w:val="en-US"/>
              </w:rPr>
              <w:t>Annex III</w:t>
            </w:r>
            <w:r w:rsidRPr="006F6FCC">
              <w:rPr>
                <w:rFonts w:ascii="Arial" w:hAnsi="Arial" w:cs="Arial"/>
                <w:color w:val="000000"/>
                <w:sz w:val="18"/>
                <w:szCs w:val="18"/>
                <w:lang w:val="en-US"/>
              </w:rPr>
              <w:t>: Species whose exploitation is regulated; Parties shall ensure the favourable state of conservation of these species by taking all appropriate measures, in cooperation with competent international organizations.</w:t>
            </w:r>
          </w:p>
        </w:tc>
      </w:tr>
      <w:tr w:rsidR="002336DA" w:rsidRPr="006F6FCC" w14:paraId="75243018" w14:textId="77777777" w:rsidTr="002336DA">
        <w:trPr>
          <w:trHeight w:val="1227"/>
        </w:trPr>
        <w:tc>
          <w:tcPr>
            <w:tcW w:w="3055" w:type="dxa"/>
            <w:vAlign w:val="center"/>
          </w:tcPr>
          <w:p w14:paraId="33301DD0" w14:textId="77777777" w:rsidR="002336DA" w:rsidRPr="006F6FCC" w:rsidRDefault="002336DA" w:rsidP="0095600C">
            <w:pPr>
              <w:jc w:val="both"/>
              <w:rPr>
                <w:rFonts w:cs="Arial"/>
                <w:b/>
                <w:bCs/>
                <w:szCs w:val="18"/>
                <w:lang w:val="en-US"/>
              </w:rPr>
            </w:pPr>
            <w:r w:rsidRPr="006F6FCC">
              <w:rPr>
                <w:rFonts w:cs="Arial"/>
                <w:b/>
                <w:bCs/>
                <w:szCs w:val="18"/>
                <w:lang w:val="en-US"/>
              </w:rPr>
              <w:lastRenderedPageBreak/>
              <w:t>CMS</w:t>
            </w:r>
          </w:p>
          <w:p w14:paraId="57F48123" w14:textId="77777777" w:rsidR="002336DA" w:rsidRPr="006F6FCC" w:rsidRDefault="002336DA" w:rsidP="0095600C">
            <w:pPr>
              <w:jc w:val="both"/>
              <w:rPr>
                <w:rFonts w:cs="Arial"/>
                <w:szCs w:val="18"/>
                <w:lang w:val="en-US"/>
              </w:rPr>
            </w:pPr>
            <w:r w:rsidRPr="006F6FCC">
              <w:rPr>
                <w:rFonts w:cs="Arial"/>
                <w:szCs w:val="18"/>
                <w:lang w:val="en-US"/>
              </w:rPr>
              <w:t>Convention on the Conservation of Migratory Species of Wild Animals</w:t>
            </w:r>
          </w:p>
        </w:tc>
        <w:tc>
          <w:tcPr>
            <w:tcW w:w="6187" w:type="dxa"/>
            <w:vAlign w:val="center"/>
          </w:tcPr>
          <w:p w14:paraId="5A0B0DFB" w14:textId="77777777" w:rsidR="002336DA" w:rsidRPr="006F6FCC" w:rsidRDefault="002336DA" w:rsidP="0095600C">
            <w:pPr>
              <w:jc w:val="both"/>
              <w:rPr>
                <w:rFonts w:cs="Arial"/>
                <w:szCs w:val="18"/>
                <w:lang w:val="en-US"/>
              </w:rPr>
            </w:pPr>
            <w:r w:rsidRPr="006F6FCC">
              <w:rPr>
                <w:rFonts w:cs="Arial"/>
                <w:b/>
                <w:szCs w:val="18"/>
                <w:u w:val="single"/>
                <w:lang w:val="en-US"/>
              </w:rPr>
              <w:t>Appendix II</w:t>
            </w:r>
            <w:r w:rsidRPr="006F6FCC">
              <w:rPr>
                <w:rFonts w:cs="Arial"/>
                <w:szCs w:val="18"/>
                <w:lang w:val="en-US"/>
              </w:rPr>
              <w:t>: Migratory species that have an unfavourable conservation status and need or would significantly benefit from international cooperation; CMS Parties shall endeavour to conclude global or regional agreements to benefit these species.</w:t>
            </w:r>
          </w:p>
        </w:tc>
      </w:tr>
      <w:tr w:rsidR="00827995" w:rsidRPr="006F6FCC" w14:paraId="0BFE9E5C" w14:textId="77777777" w:rsidTr="002336DA">
        <w:tc>
          <w:tcPr>
            <w:tcW w:w="3055" w:type="dxa"/>
            <w:vAlign w:val="center"/>
          </w:tcPr>
          <w:p w14:paraId="011AFCFE" w14:textId="4408EB68" w:rsidR="00827995" w:rsidRPr="006F6FCC" w:rsidRDefault="00827995" w:rsidP="0095600C">
            <w:pPr>
              <w:jc w:val="both"/>
              <w:rPr>
                <w:rFonts w:cs="Arial"/>
                <w:b/>
                <w:bCs/>
                <w:szCs w:val="18"/>
              </w:rPr>
            </w:pPr>
            <w:r w:rsidRPr="006F6FCC">
              <w:rPr>
                <w:rFonts w:cs="Arial"/>
                <w:b/>
                <w:bCs/>
                <w:szCs w:val="18"/>
              </w:rPr>
              <w:t>EU</w:t>
            </w:r>
          </w:p>
          <w:p w14:paraId="253BDE82" w14:textId="7357ECA4" w:rsidR="00827995" w:rsidRPr="006F6FCC" w:rsidRDefault="00827995" w:rsidP="0095600C">
            <w:pPr>
              <w:jc w:val="both"/>
              <w:rPr>
                <w:rFonts w:cs="Arial"/>
                <w:bCs/>
                <w:szCs w:val="18"/>
              </w:rPr>
            </w:pPr>
            <w:r w:rsidRPr="006F6FCC">
              <w:rPr>
                <w:rFonts w:cs="Arial"/>
                <w:bCs/>
                <w:szCs w:val="18"/>
              </w:rPr>
              <w:t>European Union</w:t>
            </w:r>
          </w:p>
          <w:p w14:paraId="736000A6" w14:textId="59E35404" w:rsidR="00827995" w:rsidRPr="006F6FCC" w:rsidRDefault="00827995" w:rsidP="0095600C">
            <w:pPr>
              <w:jc w:val="both"/>
              <w:rPr>
                <w:rFonts w:cs="Arial"/>
                <w:b/>
                <w:bCs/>
                <w:szCs w:val="18"/>
              </w:rPr>
            </w:pPr>
          </w:p>
        </w:tc>
        <w:tc>
          <w:tcPr>
            <w:tcW w:w="6187" w:type="dxa"/>
            <w:vAlign w:val="center"/>
          </w:tcPr>
          <w:p w14:paraId="11AC3DA8" w14:textId="7FC575AD" w:rsidR="005B28D0" w:rsidRPr="006F6FCC" w:rsidRDefault="005B28D0" w:rsidP="005B28D0">
            <w:pPr>
              <w:jc w:val="both"/>
              <w:rPr>
                <w:rFonts w:cs="Arial"/>
                <w:szCs w:val="18"/>
                <w:shd w:val="clear" w:color="auto" w:fill="FFFFFF"/>
                <w:lang w:val="en-US"/>
              </w:rPr>
            </w:pPr>
            <w:r w:rsidRPr="006F6FCC">
              <w:rPr>
                <w:rFonts w:cs="Arial"/>
                <w:b/>
                <w:szCs w:val="18"/>
                <w:u w:val="single"/>
                <w:shd w:val="clear" w:color="auto" w:fill="FFFFFF"/>
                <w:lang w:val="en-US"/>
              </w:rPr>
              <w:t>Council Regulation (EC) No 1185/2003</w:t>
            </w:r>
            <w:r w:rsidRPr="006F6FCC">
              <w:rPr>
                <w:rFonts w:cs="Arial"/>
                <w:b/>
                <w:szCs w:val="18"/>
                <w:shd w:val="clear" w:color="auto" w:fill="FFFFFF"/>
                <w:lang w:val="en-US"/>
              </w:rPr>
              <w:t>:</w:t>
            </w:r>
            <w:r w:rsidRPr="006F6FCC">
              <w:rPr>
                <w:rFonts w:cs="Arial"/>
                <w:szCs w:val="18"/>
                <w:lang w:val="en-US"/>
              </w:rPr>
              <w:t xml:space="preserve"> </w:t>
            </w:r>
            <w:r w:rsidRPr="006F6FCC">
              <w:rPr>
                <w:rFonts w:cs="Arial"/>
                <w:szCs w:val="18"/>
                <w:shd w:val="clear" w:color="auto" w:fill="FFFFFF"/>
                <w:lang w:val="en-US"/>
              </w:rPr>
              <w:t>establishes a general prohibition of the practice of ‘shark finning’, whereby a shark’s fins are removed and the remainder</w:t>
            </w:r>
            <w:r w:rsidRPr="006F6FCC">
              <w:rPr>
                <w:rFonts w:cs="Arial"/>
                <w:szCs w:val="18"/>
                <w:shd w:val="clear" w:color="auto" w:fill="FFFFFF"/>
                <w:lang w:val="en-US"/>
              </w:rPr>
              <w:t xml:space="preserve"> </w:t>
            </w:r>
            <w:r w:rsidRPr="006F6FCC">
              <w:rPr>
                <w:rFonts w:cs="Arial"/>
                <w:szCs w:val="18"/>
                <w:shd w:val="clear" w:color="auto" w:fill="FFFFFF"/>
                <w:lang w:val="en-US"/>
              </w:rPr>
              <w:t>of the shark is discarded at sea.</w:t>
            </w:r>
          </w:p>
          <w:p w14:paraId="4505D664" w14:textId="3CCD1EE1" w:rsidR="00C353AE" w:rsidRPr="006F6FCC" w:rsidRDefault="00C353AE" w:rsidP="0019726A">
            <w:pPr>
              <w:jc w:val="both"/>
              <w:rPr>
                <w:rFonts w:cs="Arial"/>
                <w:szCs w:val="18"/>
                <w:lang w:val="en-US" w:eastAsia="en-GB"/>
              </w:rPr>
            </w:pPr>
            <w:r w:rsidRPr="006F6FCC">
              <w:rPr>
                <w:rFonts w:cs="Arial"/>
                <w:b/>
                <w:szCs w:val="18"/>
                <w:u w:val="single"/>
                <w:lang w:val="en-US" w:eastAsia="en-GB"/>
              </w:rPr>
              <w:t>C</w:t>
            </w:r>
            <w:r w:rsidR="005B28D0" w:rsidRPr="006F6FCC">
              <w:rPr>
                <w:rFonts w:cs="Arial"/>
                <w:b/>
                <w:szCs w:val="18"/>
                <w:u w:val="single"/>
                <w:lang w:val="en-US" w:eastAsia="en-GB"/>
              </w:rPr>
              <w:t>ouncil Regulation</w:t>
            </w:r>
            <w:r w:rsidRPr="006F6FCC">
              <w:rPr>
                <w:rFonts w:cs="Arial"/>
                <w:b/>
                <w:szCs w:val="18"/>
                <w:u w:val="single"/>
                <w:lang w:val="en-US" w:eastAsia="en-GB"/>
              </w:rPr>
              <w:t xml:space="preserve"> (EU) 2018/120 </w:t>
            </w:r>
            <w:r w:rsidR="00827995" w:rsidRPr="006F6FCC">
              <w:rPr>
                <w:rFonts w:cs="Arial"/>
                <w:szCs w:val="18"/>
                <w:lang w:val="en-US" w:eastAsia="en-GB"/>
              </w:rPr>
              <w:t xml:space="preserve">prohibits for Union vessels </w:t>
            </w:r>
            <w:r w:rsidR="00D4718D" w:rsidRPr="006F6FCC">
              <w:rPr>
                <w:rFonts w:cs="Arial"/>
                <w:szCs w:val="18"/>
                <w:lang w:val="en-US" w:eastAsia="en-GB"/>
              </w:rPr>
              <w:t>to fish</w:t>
            </w:r>
            <w:r w:rsidR="00D4718D">
              <w:rPr>
                <w:rFonts w:cs="Arial"/>
                <w:szCs w:val="18"/>
                <w:lang w:val="en-US" w:eastAsia="en-GB"/>
              </w:rPr>
              <w:t xml:space="preserve"> for,</w:t>
            </w:r>
            <w:bookmarkStart w:id="1" w:name="_GoBack"/>
            <w:bookmarkEnd w:id="1"/>
            <w:r w:rsidR="00D4718D" w:rsidRPr="006F6FCC">
              <w:rPr>
                <w:rFonts w:cs="Arial"/>
                <w:szCs w:val="18"/>
                <w:lang w:val="en-US" w:eastAsia="en-GB"/>
              </w:rPr>
              <w:t xml:space="preserve"> </w:t>
            </w:r>
            <w:r w:rsidR="00827995" w:rsidRPr="006F6FCC">
              <w:rPr>
                <w:rFonts w:cs="Arial"/>
                <w:szCs w:val="18"/>
                <w:lang w:val="en-US" w:eastAsia="en-GB"/>
              </w:rPr>
              <w:t xml:space="preserve">to retain on board, to tranship or to land </w:t>
            </w:r>
            <w:r w:rsidR="00AD5226" w:rsidRPr="006F6FCC">
              <w:rPr>
                <w:rFonts w:cs="Arial"/>
                <w:szCs w:val="18"/>
                <w:lang w:val="en-US" w:eastAsia="en-GB"/>
              </w:rPr>
              <w:t xml:space="preserve">Spiny </w:t>
            </w:r>
            <w:r w:rsidR="00827995" w:rsidRPr="006F6FCC">
              <w:rPr>
                <w:rFonts w:cs="Arial"/>
                <w:szCs w:val="18"/>
                <w:lang w:val="en-US" w:eastAsia="en-GB"/>
              </w:rPr>
              <w:t>(</w:t>
            </w:r>
            <w:r w:rsidR="00AD5226" w:rsidRPr="006F6FCC">
              <w:rPr>
                <w:rFonts w:cs="Arial"/>
                <w:szCs w:val="18"/>
                <w:lang w:val="en-US" w:eastAsia="en-GB"/>
              </w:rPr>
              <w:t>Picked</w:t>
            </w:r>
            <w:r w:rsidR="00827995" w:rsidRPr="006F6FCC">
              <w:rPr>
                <w:rFonts w:cs="Arial"/>
                <w:szCs w:val="18"/>
                <w:lang w:val="en-US" w:eastAsia="en-GB"/>
              </w:rPr>
              <w:t xml:space="preserve">) </w:t>
            </w:r>
            <w:r w:rsidR="00AD5226" w:rsidRPr="006F6FCC">
              <w:rPr>
                <w:rFonts w:cs="Arial"/>
                <w:szCs w:val="18"/>
                <w:lang w:val="en-US" w:eastAsia="en-GB"/>
              </w:rPr>
              <w:t xml:space="preserve">Dogfish </w:t>
            </w:r>
            <w:r w:rsidR="00827995" w:rsidRPr="006F6FCC">
              <w:rPr>
                <w:rFonts w:cs="Arial"/>
                <w:szCs w:val="18"/>
                <w:lang w:val="en-US" w:eastAsia="en-GB"/>
              </w:rPr>
              <w:t xml:space="preserve">by in all waters, with the exception of avoidance programmes (e.g. limited quota is available for vessels engaged in bycatch avoidance programmes). </w:t>
            </w:r>
            <w:r w:rsidR="0019726A" w:rsidRPr="006F6FCC">
              <w:rPr>
                <w:rFonts w:cs="Arial"/>
                <w:szCs w:val="18"/>
                <w:lang w:val="en-US" w:eastAsia="en-GB"/>
              </w:rPr>
              <w:t>The regulation</w:t>
            </w:r>
            <w:r w:rsidR="00827995" w:rsidRPr="006F6FCC">
              <w:rPr>
                <w:rFonts w:cs="Arial"/>
                <w:szCs w:val="18"/>
                <w:lang w:val="en-US" w:eastAsia="en-GB"/>
              </w:rPr>
              <w:t xml:space="preserve"> also prohibits third-country vessels to fish for, to retain on board, </w:t>
            </w:r>
            <w:r w:rsidR="00CC5DD6">
              <w:rPr>
                <w:rFonts w:cs="Arial"/>
                <w:szCs w:val="18"/>
                <w:lang w:val="en-US" w:eastAsia="en-GB"/>
              </w:rPr>
              <w:t xml:space="preserve">and </w:t>
            </w:r>
            <w:r w:rsidR="00827995" w:rsidRPr="006F6FCC">
              <w:rPr>
                <w:rFonts w:cs="Arial"/>
                <w:szCs w:val="18"/>
                <w:lang w:val="en-US" w:eastAsia="en-GB"/>
              </w:rPr>
              <w:t xml:space="preserve">to tranship </w:t>
            </w:r>
            <w:r w:rsidR="00AD5226" w:rsidRPr="006F6FCC">
              <w:rPr>
                <w:rFonts w:cs="Arial"/>
                <w:szCs w:val="18"/>
                <w:lang w:val="en-US" w:eastAsia="en-GB"/>
              </w:rPr>
              <w:t xml:space="preserve">Spiny Dogfish </w:t>
            </w:r>
            <w:r w:rsidR="00827995" w:rsidRPr="006F6FCC">
              <w:rPr>
                <w:rFonts w:cs="Arial"/>
                <w:szCs w:val="18"/>
                <w:lang w:val="en-US" w:eastAsia="en-GB"/>
              </w:rPr>
              <w:t>in Union waters.</w:t>
            </w:r>
          </w:p>
        </w:tc>
      </w:tr>
      <w:tr w:rsidR="002336DA" w:rsidRPr="006F6FCC" w14:paraId="3B2FE333" w14:textId="77777777" w:rsidTr="002336DA">
        <w:tc>
          <w:tcPr>
            <w:tcW w:w="3055" w:type="dxa"/>
            <w:vAlign w:val="center"/>
          </w:tcPr>
          <w:p w14:paraId="7B82253B" w14:textId="77777777" w:rsidR="002336DA" w:rsidRPr="006F6FCC" w:rsidRDefault="002336DA" w:rsidP="0095600C">
            <w:pPr>
              <w:jc w:val="both"/>
              <w:rPr>
                <w:rFonts w:cs="Arial"/>
                <w:b/>
                <w:bCs/>
                <w:szCs w:val="18"/>
                <w:lang w:val="en-US"/>
              </w:rPr>
            </w:pPr>
            <w:r w:rsidRPr="006F6FCC">
              <w:rPr>
                <w:rFonts w:cs="Arial"/>
                <w:b/>
                <w:bCs/>
                <w:szCs w:val="18"/>
                <w:lang w:val="en-US"/>
              </w:rPr>
              <w:t>FAO</w:t>
            </w:r>
          </w:p>
          <w:p w14:paraId="041FEB7C" w14:textId="00498815" w:rsidR="008102D6" w:rsidRPr="006F6FCC" w:rsidRDefault="008102D6" w:rsidP="0095600C">
            <w:pPr>
              <w:jc w:val="both"/>
              <w:rPr>
                <w:rFonts w:cs="Arial"/>
                <w:bCs/>
                <w:szCs w:val="18"/>
                <w:lang w:val="en-US"/>
              </w:rPr>
            </w:pPr>
            <w:r w:rsidRPr="006F6FCC">
              <w:rPr>
                <w:rFonts w:cs="Arial"/>
                <w:bCs/>
                <w:szCs w:val="18"/>
                <w:lang w:val="en-US"/>
              </w:rPr>
              <w:t>Food and Agriculture Organization</w:t>
            </w:r>
          </w:p>
        </w:tc>
        <w:tc>
          <w:tcPr>
            <w:tcW w:w="6187" w:type="dxa"/>
            <w:vAlign w:val="center"/>
          </w:tcPr>
          <w:p w14:paraId="57999D2E" w14:textId="5A72383F" w:rsidR="002336DA" w:rsidRPr="006F6FCC" w:rsidRDefault="008102D6" w:rsidP="0095600C">
            <w:pPr>
              <w:jc w:val="both"/>
              <w:rPr>
                <w:rFonts w:cs="Arial"/>
                <w:szCs w:val="18"/>
                <w:lang w:val="en-US" w:eastAsia="en-GB"/>
              </w:rPr>
            </w:pPr>
            <w:r w:rsidRPr="006F6FCC">
              <w:rPr>
                <w:rFonts w:cs="Arial"/>
                <w:b/>
                <w:szCs w:val="18"/>
                <w:u w:val="single"/>
                <w:lang w:val="en-US" w:eastAsia="en-GB"/>
              </w:rPr>
              <w:t>IPOA Sharks:</w:t>
            </w:r>
            <w:r w:rsidRPr="006F6FCC">
              <w:rPr>
                <w:rFonts w:cs="Arial"/>
                <w:szCs w:val="18"/>
                <w:lang w:val="en-US" w:eastAsia="en-GB"/>
              </w:rPr>
              <w:t xml:space="preserve"> </w:t>
            </w:r>
            <w:r w:rsidR="005A35E1" w:rsidRPr="006F6FCC">
              <w:rPr>
                <w:rFonts w:cs="Arial"/>
                <w:szCs w:val="18"/>
                <w:shd w:val="clear" w:color="auto" w:fill="FFFFFF"/>
                <w:lang w:val="en-US"/>
              </w:rPr>
              <w:t xml:space="preserve">International Plan of Action for Conservation and Management of Sharks based on which </w:t>
            </w:r>
            <w:r w:rsidR="005A35E1" w:rsidRPr="006F6FCC">
              <w:rPr>
                <w:rFonts w:cs="Arial"/>
                <w:szCs w:val="18"/>
                <w:lang w:val="en-US"/>
              </w:rPr>
              <w:t xml:space="preserve">states should adopt and implement a national plan of action for conservation and management of shark stocks (NPO Sharks) if their vessels conduct directed fisheries for sharks or if their vessels regularly catch sharks in non-directed fisheries. </w:t>
            </w:r>
            <w:r w:rsidR="005A35E1" w:rsidRPr="006F6FCC">
              <w:rPr>
                <w:rFonts w:cs="Arial"/>
                <w:szCs w:val="18"/>
                <w:shd w:val="clear" w:color="auto" w:fill="FFFFFF"/>
                <w:lang w:val="en-US"/>
              </w:rPr>
              <w:t xml:space="preserve"> </w:t>
            </w:r>
          </w:p>
        </w:tc>
      </w:tr>
      <w:tr w:rsidR="002336DA" w:rsidRPr="006F6FCC" w14:paraId="08627781" w14:textId="77777777" w:rsidTr="002336DA">
        <w:tc>
          <w:tcPr>
            <w:tcW w:w="3055" w:type="dxa"/>
            <w:vAlign w:val="center"/>
          </w:tcPr>
          <w:p w14:paraId="539936EF" w14:textId="77777777" w:rsidR="002336DA" w:rsidRPr="006F6FCC" w:rsidRDefault="002336DA" w:rsidP="0095600C">
            <w:pPr>
              <w:jc w:val="both"/>
              <w:rPr>
                <w:rFonts w:cs="Arial"/>
                <w:b/>
                <w:bCs/>
                <w:szCs w:val="18"/>
                <w:lang w:val="en-US"/>
              </w:rPr>
            </w:pPr>
            <w:r w:rsidRPr="006F6FCC">
              <w:rPr>
                <w:rFonts w:cs="Arial"/>
                <w:b/>
                <w:bCs/>
                <w:szCs w:val="18"/>
                <w:lang w:val="en-US"/>
              </w:rPr>
              <w:t>GFCM</w:t>
            </w:r>
          </w:p>
          <w:p w14:paraId="36CA0E03" w14:textId="3A0A1CA4" w:rsidR="008102D6" w:rsidRPr="006F6FCC" w:rsidRDefault="008102D6" w:rsidP="0095600C">
            <w:pPr>
              <w:jc w:val="both"/>
              <w:rPr>
                <w:rFonts w:cs="Arial"/>
                <w:bCs/>
                <w:szCs w:val="18"/>
                <w:lang w:val="en-US"/>
              </w:rPr>
            </w:pPr>
            <w:r w:rsidRPr="006F6FCC">
              <w:rPr>
                <w:rFonts w:cs="Arial"/>
                <w:bCs/>
                <w:szCs w:val="18"/>
                <w:lang w:val="en-US"/>
              </w:rPr>
              <w:t>General Fisheries Commission for the Mediterranean</w:t>
            </w:r>
          </w:p>
        </w:tc>
        <w:tc>
          <w:tcPr>
            <w:tcW w:w="6187" w:type="dxa"/>
            <w:vAlign w:val="center"/>
          </w:tcPr>
          <w:p w14:paraId="00884F9A" w14:textId="7D5E85F1" w:rsidR="002336DA" w:rsidRPr="006F6FCC" w:rsidRDefault="008102D6" w:rsidP="0095600C">
            <w:pPr>
              <w:jc w:val="both"/>
              <w:rPr>
                <w:rFonts w:cs="Arial"/>
                <w:szCs w:val="18"/>
                <w:lang w:val="en-US" w:eastAsia="en-GB"/>
              </w:rPr>
            </w:pPr>
            <w:r w:rsidRPr="006F6FCC">
              <w:rPr>
                <w:rFonts w:cs="Arial"/>
                <w:b/>
                <w:szCs w:val="18"/>
                <w:u w:val="single"/>
                <w:lang w:val="en-US" w:eastAsia="en-GB"/>
              </w:rPr>
              <w:t>Rec. GFCM/36/2012/3</w:t>
            </w:r>
            <w:r w:rsidRPr="006F6FCC">
              <w:rPr>
                <w:rFonts w:cs="Arial"/>
                <w:szCs w:val="18"/>
                <w:u w:val="single"/>
                <w:lang w:val="en-US" w:eastAsia="en-GB"/>
              </w:rPr>
              <w:t>:</w:t>
            </w:r>
            <w:r w:rsidRPr="006F6FCC">
              <w:rPr>
                <w:rFonts w:cs="Arial"/>
                <w:szCs w:val="18"/>
                <w:lang w:val="en-US" w:eastAsia="en-GB"/>
              </w:rPr>
              <w:t xml:space="preserve"> shark species listed under Annex I</w:t>
            </w:r>
            <w:r w:rsidR="00504EF1" w:rsidRPr="006F6FCC">
              <w:rPr>
                <w:rFonts w:cs="Arial"/>
                <w:szCs w:val="18"/>
                <w:lang w:val="en-US" w:eastAsia="en-GB"/>
              </w:rPr>
              <w:t>I</w:t>
            </w:r>
            <w:r w:rsidRPr="006F6FCC">
              <w:rPr>
                <w:rFonts w:cs="Arial"/>
                <w:szCs w:val="18"/>
                <w:lang w:val="en-US" w:eastAsia="en-GB"/>
              </w:rPr>
              <w:t>I of the Barcelona Convention cannot be retained on board, transshipped, landed, transferred, stored, sold or displayed or offered for sale and must be released unharmed and alive to the extent possible.</w:t>
            </w:r>
          </w:p>
        </w:tc>
      </w:tr>
      <w:tr w:rsidR="002336DA" w:rsidRPr="006F6FCC" w14:paraId="5AD92EDB" w14:textId="77777777" w:rsidTr="002336DA">
        <w:tc>
          <w:tcPr>
            <w:tcW w:w="3055" w:type="dxa"/>
            <w:vAlign w:val="center"/>
          </w:tcPr>
          <w:p w14:paraId="085607BA" w14:textId="77777777" w:rsidR="002336DA" w:rsidRPr="006F6FCC" w:rsidRDefault="002336DA" w:rsidP="0095600C">
            <w:pPr>
              <w:jc w:val="both"/>
              <w:rPr>
                <w:rFonts w:cs="Arial"/>
                <w:b/>
                <w:bCs/>
                <w:szCs w:val="18"/>
                <w:lang w:val="en-US"/>
              </w:rPr>
            </w:pPr>
            <w:r w:rsidRPr="006F6FCC">
              <w:rPr>
                <w:rFonts w:cs="Arial"/>
                <w:b/>
                <w:bCs/>
                <w:szCs w:val="18"/>
                <w:lang w:val="en-US"/>
              </w:rPr>
              <w:t>HELCOM</w:t>
            </w:r>
          </w:p>
          <w:p w14:paraId="6773198C" w14:textId="77777777" w:rsidR="002336DA" w:rsidRPr="006F6FCC" w:rsidRDefault="002336DA" w:rsidP="0095600C">
            <w:pPr>
              <w:jc w:val="both"/>
              <w:rPr>
                <w:rFonts w:cs="Arial"/>
                <w:szCs w:val="18"/>
                <w:lang w:val="en-US"/>
              </w:rPr>
            </w:pPr>
            <w:r w:rsidRPr="006F6FCC">
              <w:rPr>
                <w:rFonts w:cs="Arial"/>
                <w:szCs w:val="18"/>
                <w:lang w:val="en-US"/>
              </w:rPr>
              <w:t>Baltic Marine Environment Protection Commission - Helsinki Commission</w:t>
            </w:r>
          </w:p>
        </w:tc>
        <w:tc>
          <w:tcPr>
            <w:tcW w:w="6187" w:type="dxa"/>
            <w:vAlign w:val="center"/>
          </w:tcPr>
          <w:p w14:paraId="45A80BCA" w14:textId="77777777" w:rsidR="002336DA" w:rsidRPr="006F6FCC" w:rsidRDefault="002336DA" w:rsidP="0095600C">
            <w:pPr>
              <w:jc w:val="both"/>
              <w:rPr>
                <w:rFonts w:cs="Arial"/>
                <w:szCs w:val="18"/>
                <w:lang w:val="en-US" w:eastAsia="en-GB"/>
              </w:rPr>
            </w:pPr>
            <w:r w:rsidRPr="006F6FCC">
              <w:rPr>
                <w:rFonts w:cs="Arial"/>
                <w:szCs w:val="18"/>
                <w:lang w:val="en-US" w:eastAsia="en-GB"/>
              </w:rPr>
              <w:t>Being the environmental governing body of the Helsinki Convention, HELCOM strives to protect the marine environment of the Baltic Sea from all sources of pollution through intergovernmental cooperation.</w:t>
            </w:r>
          </w:p>
        </w:tc>
      </w:tr>
      <w:tr w:rsidR="002336DA" w:rsidRPr="006F6FCC" w14:paraId="21D9AE27" w14:textId="77777777" w:rsidTr="002336DA">
        <w:tc>
          <w:tcPr>
            <w:tcW w:w="3055" w:type="dxa"/>
            <w:vAlign w:val="center"/>
          </w:tcPr>
          <w:p w14:paraId="58E765AB" w14:textId="77777777" w:rsidR="002336DA" w:rsidRPr="006F6FCC" w:rsidRDefault="002336DA" w:rsidP="0095600C">
            <w:pPr>
              <w:jc w:val="both"/>
              <w:rPr>
                <w:rFonts w:cs="Arial"/>
                <w:b/>
                <w:bCs/>
                <w:szCs w:val="18"/>
                <w:lang w:val="en-US"/>
              </w:rPr>
            </w:pPr>
            <w:r w:rsidRPr="006F6FCC">
              <w:rPr>
                <w:rFonts w:cs="Arial"/>
                <w:b/>
                <w:bCs/>
                <w:szCs w:val="18"/>
                <w:lang w:val="en-US"/>
              </w:rPr>
              <w:t>NAFO</w:t>
            </w:r>
          </w:p>
          <w:p w14:paraId="4034305B" w14:textId="77777777" w:rsidR="002336DA" w:rsidRPr="006F6FCC" w:rsidRDefault="002336DA" w:rsidP="0095600C">
            <w:pPr>
              <w:jc w:val="both"/>
              <w:rPr>
                <w:rFonts w:cs="Arial"/>
                <w:szCs w:val="18"/>
                <w:lang w:val="en-US"/>
              </w:rPr>
            </w:pPr>
            <w:r w:rsidRPr="006F6FCC">
              <w:rPr>
                <w:rFonts w:cs="Arial"/>
                <w:szCs w:val="18"/>
                <w:lang w:val="en-US"/>
              </w:rPr>
              <w:t>Northwest Atlantic Fisheries Organization</w:t>
            </w:r>
          </w:p>
        </w:tc>
        <w:tc>
          <w:tcPr>
            <w:tcW w:w="6187" w:type="dxa"/>
            <w:vAlign w:val="center"/>
          </w:tcPr>
          <w:p w14:paraId="2D2FE7BB" w14:textId="77777777" w:rsidR="002336DA" w:rsidRPr="006F6FCC" w:rsidRDefault="002336DA" w:rsidP="0095600C">
            <w:pPr>
              <w:jc w:val="both"/>
              <w:rPr>
                <w:rFonts w:cs="Arial"/>
                <w:szCs w:val="18"/>
                <w:lang w:val="en-US"/>
              </w:rPr>
            </w:pPr>
            <w:r w:rsidRPr="006F6FCC">
              <w:rPr>
                <w:rFonts w:cs="Arial"/>
                <w:szCs w:val="18"/>
                <w:shd w:val="clear" w:color="auto" w:fill="FFFFFF"/>
                <w:lang w:val="en-US"/>
              </w:rPr>
              <w:t>In order to safeguard the marine ecosystems in which the Convention Area’s fisheries resources are found, NAFO develops and adopts conservation and enforcement measures to protect shark species in its region.</w:t>
            </w:r>
          </w:p>
        </w:tc>
      </w:tr>
      <w:tr w:rsidR="002336DA" w:rsidRPr="006F6FCC" w14:paraId="4B772564" w14:textId="77777777" w:rsidTr="002336DA">
        <w:tc>
          <w:tcPr>
            <w:tcW w:w="3055" w:type="dxa"/>
            <w:vAlign w:val="center"/>
          </w:tcPr>
          <w:p w14:paraId="36FAD101" w14:textId="77777777" w:rsidR="002336DA" w:rsidRPr="006F6FCC" w:rsidRDefault="002336DA" w:rsidP="0095600C">
            <w:pPr>
              <w:jc w:val="both"/>
              <w:rPr>
                <w:rFonts w:cs="Arial"/>
                <w:b/>
                <w:bCs/>
                <w:szCs w:val="18"/>
                <w:lang w:val="en-US"/>
              </w:rPr>
            </w:pPr>
            <w:r w:rsidRPr="006F6FCC">
              <w:rPr>
                <w:rFonts w:cs="Arial"/>
                <w:b/>
                <w:bCs/>
                <w:szCs w:val="18"/>
                <w:lang w:val="en-US"/>
              </w:rPr>
              <w:t>NEAFC</w:t>
            </w:r>
          </w:p>
          <w:p w14:paraId="4F30EE1A" w14:textId="77777777" w:rsidR="002336DA" w:rsidRPr="006F6FCC" w:rsidRDefault="002336DA" w:rsidP="0095600C">
            <w:pPr>
              <w:jc w:val="both"/>
              <w:rPr>
                <w:rFonts w:cs="Arial"/>
                <w:szCs w:val="18"/>
                <w:lang w:val="en-US"/>
              </w:rPr>
            </w:pPr>
            <w:r w:rsidRPr="006F6FCC">
              <w:rPr>
                <w:rFonts w:cs="Arial"/>
                <w:szCs w:val="18"/>
                <w:lang w:val="en-US"/>
              </w:rPr>
              <w:t>North East Atlantic Fisheries Commission</w:t>
            </w:r>
          </w:p>
        </w:tc>
        <w:tc>
          <w:tcPr>
            <w:tcW w:w="6187" w:type="dxa"/>
            <w:vAlign w:val="center"/>
          </w:tcPr>
          <w:p w14:paraId="232B3403" w14:textId="77777777" w:rsidR="002336DA" w:rsidRPr="006F6FCC" w:rsidRDefault="002336DA" w:rsidP="0095600C">
            <w:pPr>
              <w:jc w:val="both"/>
              <w:rPr>
                <w:rFonts w:cs="Arial"/>
                <w:szCs w:val="18"/>
                <w:lang w:val="en-US"/>
              </w:rPr>
            </w:pPr>
            <w:r w:rsidRPr="006F6FCC">
              <w:rPr>
                <w:rFonts w:cs="Arial"/>
                <w:szCs w:val="18"/>
                <w:shd w:val="clear" w:color="auto" w:fill="FFFFFF"/>
                <w:lang w:val="en-US"/>
              </w:rPr>
              <w:t>NEAFC considers and designs recommendations and measures to ensure the protection and conservation of shark species related to fisheries in its region.</w:t>
            </w:r>
          </w:p>
        </w:tc>
      </w:tr>
      <w:tr w:rsidR="002336DA" w:rsidRPr="006F6FCC" w14:paraId="1951742E" w14:textId="77777777" w:rsidTr="002336DA">
        <w:tc>
          <w:tcPr>
            <w:tcW w:w="3055" w:type="dxa"/>
            <w:vAlign w:val="center"/>
          </w:tcPr>
          <w:p w14:paraId="34E2400D" w14:textId="77777777" w:rsidR="002336DA" w:rsidRPr="006F6FCC" w:rsidRDefault="002336DA" w:rsidP="0095600C">
            <w:pPr>
              <w:jc w:val="both"/>
              <w:rPr>
                <w:rFonts w:cs="Arial"/>
                <w:b/>
                <w:bCs/>
                <w:szCs w:val="18"/>
                <w:lang w:val="en-US"/>
              </w:rPr>
            </w:pPr>
            <w:r w:rsidRPr="006F6FCC">
              <w:rPr>
                <w:rFonts w:cs="Arial"/>
                <w:b/>
                <w:bCs/>
                <w:szCs w:val="18"/>
                <w:lang w:val="en-US"/>
              </w:rPr>
              <w:t>OSPAR</w:t>
            </w:r>
          </w:p>
          <w:p w14:paraId="66BFFA94" w14:textId="77777777" w:rsidR="002336DA" w:rsidRPr="006F6FCC" w:rsidRDefault="002336DA" w:rsidP="0095600C">
            <w:pPr>
              <w:jc w:val="both"/>
              <w:rPr>
                <w:rFonts w:cs="Arial"/>
                <w:szCs w:val="18"/>
                <w:lang w:val="en-US"/>
              </w:rPr>
            </w:pPr>
            <w:r w:rsidRPr="006F6FCC">
              <w:rPr>
                <w:rFonts w:cs="Arial"/>
                <w:szCs w:val="18"/>
                <w:lang w:val="en-US"/>
              </w:rPr>
              <w:t>Convention for the Protection of the Marine Environment of the North-East Atlantic</w:t>
            </w:r>
          </w:p>
        </w:tc>
        <w:tc>
          <w:tcPr>
            <w:tcW w:w="6187" w:type="dxa"/>
            <w:vAlign w:val="center"/>
          </w:tcPr>
          <w:p w14:paraId="6DFCE105" w14:textId="071F8E49" w:rsidR="002336DA" w:rsidRPr="006F6FCC" w:rsidRDefault="00827995" w:rsidP="0095600C">
            <w:pPr>
              <w:jc w:val="both"/>
              <w:rPr>
                <w:rFonts w:cs="Arial"/>
                <w:szCs w:val="18"/>
                <w:lang w:val="en-US"/>
              </w:rPr>
            </w:pPr>
            <w:r w:rsidRPr="006F6FCC">
              <w:rPr>
                <w:rFonts w:cs="Arial"/>
                <w:b/>
                <w:szCs w:val="18"/>
                <w:u w:val="single"/>
                <w:lang w:val="en-US"/>
              </w:rPr>
              <w:t xml:space="preserve">OSPAR Recommendation 2014/2: </w:t>
            </w:r>
            <w:r w:rsidRPr="006F6FCC">
              <w:rPr>
                <w:rFonts w:cs="Arial"/>
                <w:szCs w:val="18"/>
                <w:lang w:val="en-US"/>
              </w:rPr>
              <w:t xml:space="preserve">Contracting </w:t>
            </w:r>
            <w:r w:rsidR="002336DA" w:rsidRPr="006F6FCC">
              <w:rPr>
                <w:rFonts w:cs="Arial"/>
                <w:szCs w:val="18"/>
                <w:lang w:val="en-US"/>
              </w:rPr>
              <w:t xml:space="preserve">Parties and management authorities responsible for human activities in the region are urged to take the need for protection of these species </w:t>
            </w:r>
            <w:r w:rsidRPr="006F6FCC">
              <w:rPr>
                <w:rFonts w:cs="Arial"/>
                <w:szCs w:val="18"/>
                <w:lang w:val="en-US"/>
              </w:rPr>
              <w:t>into account, OSPAR List of Threatened and/or Declining Species and Habitats: Species listed are a priority for protection and conservation;</w:t>
            </w:r>
          </w:p>
        </w:tc>
      </w:tr>
      <w:tr w:rsidR="002336DA" w:rsidRPr="006F6FCC" w14:paraId="25716D85" w14:textId="77777777" w:rsidTr="002336DA">
        <w:tc>
          <w:tcPr>
            <w:tcW w:w="3055" w:type="dxa"/>
            <w:vAlign w:val="center"/>
          </w:tcPr>
          <w:p w14:paraId="64E2C9D2" w14:textId="77777777" w:rsidR="002336DA" w:rsidRPr="006F6FCC" w:rsidRDefault="002336DA" w:rsidP="0095600C">
            <w:pPr>
              <w:jc w:val="both"/>
              <w:rPr>
                <w:rFonts w:cs="Arial"/>
                <w:szCs w:val="18"/>
                <w:lang w:val="en-US"/>
              </w:rPr>
            </w:pPr>
            <w:r w:rsidRPr="006F6FCC">
              <w:rPr>
                <w:rFonts w:cs="Arial"/>
                <w:b/>
                <w:bCs/>
                <w:szCs w:val="18"/>
                <w:lang w:val="en-US"/>
              </w:rPr>
              <w:t>Sharks MOU</w:t>
            </w:r>
          </w:p>
          <w:p w14:paraId="6B657792" w14:textId="77777777" w:rsidR="002336DA" w:rsidRPr="006F6FCC" w:rsidRDefault="002336DA" w:rsidP="0095600C">
            <w:pPr>
              <w:jc w:val="both"/>
              <w:rPr>
                <w:rFonts w:cs="Arial"/>
                <w:szCs w:val="18"/>
                <w:lang w:val="en-US"/>
              </w:rPr>
            </w:pPr>
            <w:r w:rsidRPr="006F6FCC">
              <w:rPr>
                <w:rFonts w:cs="Arial"/>
                <w:szCs w:val="18"/>
                <w:lang w:val="en-US"/>
              </w:rPr>
              <w:t>Memorandum of Understanding on the Conservation of Migratory Sharks</w:t>
            </w:r>
          </w:p>
        </w:tc>
        <w:tc>
          <w:tcPr>
            <w:tcW w:w="6187" w:type="dxa"/>
            <w:vAlign w:val="center"/>
          </w:tcPr>
          <w:p w14:paraId="2EA906AA" w14:textId="77777777" w:rsidR="002336DA" w:rsidRPr="006F6FCC" w:rsidRDefault="002336DA" w:rsidP="0095600C">
            <w:pPr>
              <w:jc w:val="both"/>
              <w:rPr>
                <w:rFonts w:cs="Arial"/>
                <w:szCs w:val="18"/>
                <w:lang w:val="en-US"/>
              </w:rPr>
            </w:pPr>
            <w:r w:rsidRPr="006F6FCC">
              <w:rPr>
                <w:rFonts w:cs="Arial"/>
                <w:b/>
                <w:szCs w:val="18"/>
                <w:u w:val="single"/>
                <w:lang w:val="en-US"/>
              </w:rPr>
              <w:t>Annex 1</w:t>
            </w:r>
            <w:r w:rsidRPr="006F6FCC">
              <w:rPr>
                <w:rFonts w:cs="Arial"/>
                <w:b/>
                <w:szCs w:val="18"/>
                <w:lang w:val="en-US"/>
              </w:rPr>
              <w:t>:</w:t>
            </w:r>
            <w:r w:rsidRPr="006F6FCC">
              <w:rPr>
                <w:rFonts w:cs="Arial"/>
                <w:szCs w:val="18"/>
                <w:lang w:val="en-US"/>
              </w:rPr>
              <w:t xml:space="preserve"> Signatories should endeavour to achieve and maintain a favourable conservation status for these species based on the best available scientific information and taking into account their socio-economic value.</w:t>
            </w:r>
          </w:p>
        </w:tc>
      </w:tr>
      <w:bookmarkEnd w:id="0"/>
    </w:tbl>
    <w:p w14:paraId="014EA15D" w14:textId="2A918E5A" w:rsidR="002336DA" w:rsidRPr="006F6FCC" w:rsidRDefault="002336DA" w:rsidP="002336DA">
      <w:pPr>
        <w:jc w:val="both"/>
        <w:rPr>
          <w:rFonts w:cs="Arial"/>
          <w:b/>
          <w:sz w:val="22"/>
        </w:rPr>
      </w:pPr>
    </w:p>
    <w:p w14:paraId="0FA00DCF" w14:textId="45B038F2" w:rsidR="008102D6" w:rsidRPr="006F6FCC" w:rsidRDefault="008102D6" w:rsidP="00827995">
      <w:pPr>
        <w:jc w:val="both"/>
        <w:rPr>
          <w:rFonts w:cs="Arial"/>
          <w:sz w:val="22"/>
          <w:shd w:val="clear" w:color="auto" w:fill="FFFFFF"/>
        </w:rPr>
      </w:pPr>
    </w:p>
    <w:p w14:paraId="23BB0301" w14:textId="77777777" w:rsidR="00D1449D" w:rsidRPr="006F6FCC" w:rsidRDefault="00D1449D" w:rsidP="00D1449D">
      <w:pPr>
        <w:pStyle w:val="Heading2"/>
        <w:keepLines/>
        <w:widowControl/>
        <w:numPr>
          <w:ilvl w:val="0"/>
          <w:numId w:val="12"/>
        </w:numPr>
        <w:pBdr>
          <w:top w:val="none" w:sz="0" w:space="0" w:color="auto"/>
          <w:left w:val="none" w:sz="0" w:space="0" w:color="auto"/>
          <w:bottom w:val="none" w:sz="0" w:space="0" w:color="auto"/>
          <w:right w:val="none" w:sz="0" w:space="0" w:color="auto"/>
        </w:pBdr>
        <w:autoSpaceDE/>
        <w:autoSpaceDN/>
        <w:adjustRightInd/>
        <w:spacing w:before="40"/>
        <w:ind w:right="65"/>
        <w:jc w:val="both"/>
        <w:rPr>
          <w:rFonts w:cs="Arial"/>
          <w:sz w:val="22"/>
          <w:szCs w:val="22"/>
        </w:rPr>
      </w:pPr>
      <w:r w:rsidRPr="006F6FCC">
        <w:rPr>
          <w:rFonts w:cs="Arial"/>
          <w:sz w:val="22"/>
          <w:szCs w:val="22"/>
        </w:rPr>
        <w:t>REFERENCES</w:t>
      </w:r>
    </w:p>
    <w:p w14:paraId="4ACA94FD" w14:textId="17CC705C" w:rsidR="00D1449D" w:rsidRPr="006F6FCC" w:rsidRDefault="00D1449D" w:rsidP="00FB2AA9">
      <w:pPr>
        <w:pStyle w:val="EndNoteBibliography"/>
        <w:spacing w:after="0"/>
        <w:ind w:left="720" w:hanging="720"/>
        <w:rPr>
          <w:sz w:val="18"/>
          <w:szCs w:val="18"/>
        </w:rPr>
      </w:pPr>
      <w:r w:rsidRPr="006F6FCC">
        <w:rPr>
          <w:color w:val="auto"/>
          <w:sz w:val="18"/>
          <w:szCs w:val="18"/>
        </w:rPr>
        <w:fldChar w:fldCharType="begin"/>
      </w:r>
      <w:r w:rsidRPr="006F6FCC">
        <w:rPr>
          <w:color w:val="auto"/>
          <w:sz w:val="18"/>
          <w:szCs w:val="18"/>
          <w:lang w:val="pt-BR"/>
        </w:rPr>
        <w:instrText xml:space="preserve"> ADDIN EN.REFLIST </w:instrText>
      </w:r>
      <w:r w:rsidRPr="006F6FCC">
        <w:rPr>
          <w:color w:val="auto"/>
          <w:sz w:val="18"/>
          <w:szCs w:val="18"/>
        </w:rPr>
        <w:fldChar w:fldCharType="separate"/>
      </w:r>
      <w:r w:rsidRPr="006F6FCC">
        <w:rPr>
          <w:sz w:val="18"/>
          <w:szCs w:val="18"/>
          <w:lang w:val="pt-BR"/>
        </w:rPr>
        <w:t xml:space="preserve">De Oliveira JA, Ellis JR, Dobby H 2013. </w:t>
      </w:r>
      <w:r w:rsidRPr="006F6FCC">
        <w:rPr>
          <w:sz w:val="18"/>
          <w:szCs w:val="18"/>
        </w:rPr>
        <w:t>Incorporating density dependence in pup production in a stock assessment of NE Atlantic spurdog Squalus acanthias. ICES Journal of Marine Science 70: 1341-1353.</w:t>
      </w:r>
    </w:p>
    <w:p w14:paraId="58C28773" w14:textId="77777777" w:rsidR="00D1449D" w:rsidRPr="006F6FCC" w:rsidRDefault="00D1449D" w:rsidP="00D1449D">
      <w:pPr>
        <w:pStyle w:val="EndNoteBibliography"/>
        <w:spacing w:after="0"/>
        <w:ind w:left="720" w:hanging="720"/>
        <w:rPr>
          <w:sz w:val="18"/>
          <w:szCs w:val="18"/>
        </w:rPr>
      </w:pPr>
      <w:r w:rsidRPr="006F6FCC">
        <w:rPr>
          <w:sz w:val="18"/>
          <w:szCs w:val="18"/>
        </w:rPr>
        <w:t>Ebert DA, White WT, Goldman KJ, Compagno LJ, Daly-Engel TS, Ward RD 2010. Resurrection and redescription of Squalus suckleyi (Girard, 1854) from the North Pacific, with comments on the Squalus acanthias subgroup (Squaliformes: Squalidae). Zootaxa 2612: 22-40.</w:t>
      </w:r>
    </w:p>
    <w:p w14:paraId="39D322F1" w14:textId="77777777" w:rsidR="00D1449D" w:rsidRPr="006F6FCC" w:rsidRDefault="00D1449D" w:rsidP="00D1449D">
      <w:pPr>
        <w:pStyle w:val="EndNoteBibliography"/>
        <w:spacing w:after="0"/>
        <w:ind w:left="720" w:hanging="720"/>
        <w:rPr>
          <w:sz w:val="18"/>
          <w:szCs w:val="18"/>
        </w:rPr>
      </w:pPr>
      <w:r w:rsidRPr="006F6FCC">
        <w:rPr>
          <w:sz w:val="18"/>
          <w:szCs w:val="18"/>
        </w:rPr>
        <w:t xml:space="preserve">Fordham S, Fowler SL, Coelho RP, Goldman K, Francis MP 2016. Squalus acanthias. The IUCN Red List of Threatened Species 2016: e.T91209505A2898271. </w:t>
      </w:r>
      <w:hyperlink r:id="rId9" w:history="1">
        <w:r w:rsidRPr="006F6FCC">
          <w:rPr>
            <w:rStyle w:val="Hyperlink"/>
            <w:rFonts w:cs="Arial"/>
            <w:sz w:val="18"/>
            <w:szCs w:val="18"/>
          </w:rPr>
          <w:t>http://dx.doi.org/10.2305/IUCN.UK.2016-1.RLTS.T91209505A2898271.en</w:t>
        </w:r>
      </w:hyperlink>
      <w:r w:rsidRPr="006F6FCC">
        <w:rPr>
          <w:sz w:val="18"/>
          <w:szCs w:val="18"/>
        </w:rPr>
        <w:t>.</w:t>
      </w:r>
    </w:p>
    <w:p w14:paraId="6216A18A" w14:textId="77777777" w:rsidR="00D1449D" w:rsidRPr="006F6FCC" w:rsidRDefault="00D1449D" w:rsidP="00D1449D">
      <w:pPr>
        <w:pStyle w:val="EndNoteBibliography"/>
        <w:spacing w:after="0"/>
        <w:ind w:left="720" w:hanging="720"/>
        <w:rPr>
          <w:sz w:val="18"/>
          <w:szCs w:val="18"/>
        </w:rPr>
      </w:pPr>
      <w:r w:rsidRPr="006F6FCC">
        <w:rPr>
          <w:sz w:val="18"/>
          <w:szCs w:val="18"/>
        </w:rPr>
        <w:t xml:space="preserve">GFCM 2016. Fourth meeting of the Subregional Group on Stock Assessment in the Black Sea (SGSABS). Burgas, Bulgaria, 15–19 November 2016. Final report, 28 pp. Available at </w:t>
      </w:r>
      <w:hyperlink r:id="rId10" w:history="1">
        <w:r w:rsidRPr="006F6FCC">
          <w:rPr>
            <w:rStyle w:val="Hyperlink"/>
            <w:rFonts w:cs="Arial"/>
            <w:sz w:val="18"/>
            <w:szCs w:val="18"/>
          </w:rPr>
          <w:t>http://www.fao.org/gfcm/reports/technical-meetings/detail/en/c/879801/</w:t>
        </w:r>
      </w:hyperlink>
      <w:r w:rsidRPr="006F6FCC">
        <w:rPr>
          <w:sz w:val="18"/>
          <w:szCs w:val="18"/>
        </w:rPr>
        <w:t xml:space="preserve"> </w:t>
      </w:r>
    </w:p>
    <w:p w14:paraId="7F8B4960" w14:textId="5495257F" w:rsidR="00D1449D" w:rsidRPr="006F6FCC" w:rsidRDefault="00D1449D" w:rsidP="00D1449D">
      <w:pPr>
        <w:pStyle w:val="EndNoteBibliography"/>
        <w:spacing w:after="0"/>
        <w:ind w:left="720" w:hanging="720"/>
        <w:rPr>
          <w:sz w:val="18"/>
          <w:szCs w:val="18"/>
        </w:rPr>
      </w:pPr>
    </w:p>
    <w:p w14:paraId="1E07D73B" w14:textId="4BFD5B10" w:rsidR="007847E6" w:rsidRPr="006F6FCC" w:rsidRDefault="007847E6" w:rsidP="00D1449D">
      <w:pPr>
        <w:pStyle w:val="EndNoteBibliography"/>
        <w:spacing w:after="0"/>
        <w:ind w:left="720" w:hanging="720"/>
        <w:rPr>
          <w:sz w:val="18"/>
          <w:szCs w:val="18"/>
        </w:rPr>
      </w:pPr>
      <w:r w:rsidRPr="006F6FCC">
        <w:rPr>
          <w:sz w:val="18"/>
          <w:szCs w:val="18"/>
        </w:rPr>
        <w:t>ICES 2017. Report of the Working Group on Elasmobranchs (2017), 31 May-7 June 2017, Lisbon, Portugal. ICES CM 2017/ACOM:16. 1018 pp.</w:t>
      </w:r>
    </w:p>
    <w:p w14:paraId="1D8ADC77" w14:textId="77777777" w:rsidR="00D1449D" w:rsidRPr="006F6FCC" w:rsidRDefault="00D1449D" w:rsidP="00D1449D">
      <w:pPr>
        <w:pStyle w:val="EndNoteBibliography"/>
        <w:spacing w:after="0"/>
        <w:ind w:left="720" w:hanging="720"/>
        <w:rPr>
          <w:sz w:val="18"/>
          <w:szCs w:val="18"/>
        </w:rPr>
      </w:pPr>
      <w:r w:rsidRPr="006F6FCC">
        <w:rPr>
          <w:sz w:val="18"/>
          <w:szCs w:val="18"/>
        </w:rPr>
        <w:lastRenderedPageBreak/>
        <w:t>McMillan D, Morse W 1999. Essential fish habitat source document: Spiny dogfish, Squalus acanthias, life history and habitat characteristics. In ed., NOAA Tech Memo NMFS NE 150; 19 p. Pp.</w:t>
      </w:r>
    </w:p>
    <w:p w14:paraId="5B856B86" w14:textId="77777777" w:rsidR="00D1449D" w:rsidRPr="006F6FCC" w:rsidRDefault="00D1449D" w:rsidP="00D1449D">
      <w:pPr>
        <w:pStyle w:val="EndNoteBibliography"/>
        <w:ind w:left="720" w:hanging="720"/>
        <w:rPr>
          <w:sz w:val="18"/>
          <w:szCs w:val="18"/>
        </w:rPr>
      </w:pPr>
      <w:r w:rsidRPr="006F6FCC">
        <w:rPr>
          <w:sz w:val="18"/>
          <w:szCs w:val="18"/>
        </w:rPr>
        <w:t>NEFSC 2006. Advisory report on Stock Status, The 43rd Northeast Regional Stock Assessment Review</w:t>
      </w:r>
    </w:p>
    <w:p w14:paraId="0B3F2C94" w14:textId="77777777" w:rsidR="00D1449D" w:rsidRPr="006F6FCC" w:rsidRDefault="00D1449D" w:rsidP="00D1449D">
      <w:pPr>
        <w:pStyle w:val="EndNoteBibliography"/>
        <w:spacing w:after="0"/>
        <w:ind w:left="720" w:hanging="720"/>
        <w:rPr>
          <w:sz w:val="18"/>
          <w:szCs w:val="18"/>
        </w:rPr>
      </w:pPr>
      <w:r w:rsidRPr="006F6FCC">
        <w:rPr>
          <w:sz w:val="18"/>
          <w:szCs w:val="18"/>
        </w:rPr>
        <w:t>Prodanov K, Mikhailov K, Daskalov G, Maxim C, Chashchin A, Arkhipov A, Shlyakhov V, Ozdamar E 1997. Environmental management of fish resources in the Black Sea and their rational exploitation, v.68. Food &amp; Agriculture Org.  pp.</w:t>
      </w:r>
    </w:p>
    <w:p w14:paraId="119DD0CE" w14:textId="77777777" w:rsidR="00D1449D" w:rsidRPr="006F6FCC" w:rsidRDefault="00D1449D" w:rsidP="00D1449D">
      <w:pPr>
        <w:pStyle w:val="EndNoteBibliography"/>
        <w:spacing w:after="0"/>
        <w:ind w:left="720" w:hanging="720"/>
        <w:rPr>
          <w:sz w:val="18"/>
          <w:szCs w:val="18"/>
        </w:rPr>
      </w:pPr>
      <w:r w:rsidRPr="006F6FCC">
        <w:rPr>
          <w:sz w:val="18"/>
          <w:szCs w:val="18"/>
        </w:rPr>
        <w:t>Rago PJ, Sosebee KA 2010. Biological Reference Points for Spiny Dogfish . Northeast Fish Sci Cent Ref Doc. 10-06; 52 p. Available from: National Marine Fisheries Service, 166 Water Street, Woods Hole, MA 02543-1026, or online at: http://www.nefsc.noaa.gov/nefsc/publications/</w:t>
      </w:r>
    </w:p>
    <w:p w14:paraId="6E603AA9" w14:textId="77777777" w:rsidR="00D1449D" w:rsidRPr="006F6FCC" w:rsidRDefault="00D1449D" w:rsidP="00D1449D">
      <w:pPr>
        <w:pStyle w:val="EndNoteBibliography"/>
        <w:ind w:left="720" w:hanging="720"/>
        <w:rPr>
          <w:sz w:val="18"/>
          <w:szCs w:val="18"/>
        </w:rPr>
      </w:pPr>
      <w:r w:rsidRPr="006F6FCC">
        <w:rPr>
          <w:sz w:val="18"/>
          <w:szCs w:val="18"/>
        </w:rPr>
        <w:t>Sulikowski JA, Prohaska BK, Carlson AE, Cicia AM, Brown CT, Morgan AC 2013. Observations of neonate spiny dogfish, Squalus acanthias, in Southern New England: A first account of a potential pupping ground in the Northwestern Atlantic. Fisheries Research 137: 59-62.</w:t>
      </w:r>
    </w:p>
    <w:p w14:paraId="7CB75EB3" w14:textId="77777777" w:rsidR="00D1449D" w:rsidRPr="006F6FCC" w:rsidRDefault="00D1449D" w:rsidP="00D1449D">
      <w:pPr>
        <w:jc w:val="both"/>
        <w:rPr>
          <w:rFonts w:cs="Arial"/>
          <w:sz w:val="22"/>
        </w:rPr>
      </w:pPr>
      <w:r w:rsidRPr="006F6FCC">
        <w:rPr>
          <w:rFonts w:cs="Arial"/>
          <w:szCs w:val="18"/>
        </w:rPr>
        <w:fldChar w:fldCharType="end"/>
      </w:r>
      <w:r w:rsidRPr="006F6FCC">
        <w:rPr>
          <w:rFonts w:cs="Arial"/>
          <w:sz w:val="22"/>
        </w:rPr>
        <w:t xml:space="preserve"> </w:t>
      </w:r>
    </w:p>
    <w:p w14:paraId="21B8FC3B" w14:textId="77777777" w:rsidR="00D1449D" w:rsidRPr="006F6FCC" w:rsidRDefault="00D1449D" w:rsidP="00D1449D">
      <w:pPr>
        <w:jc w:val="both"/>
        <w:rPr>
          <w:rFonts w:cs="Arial"/>
          <w:sz w:val="22"/>
        </w:rPr>
      </w:pPr>
    </w:p>
    <w:p w14:paraId="7D2467E4" w14:textId="77777777" w:rsidR="00D1449D" w:rsidRPr="006F6FCC" w:rsidRDefault="00D1449D" w:rsidP="00D1449D">
      <w:pPr>
        <w:jc w:val="both"/>
        <w:rPr>
          <w:rFonts w:cs="Arial"/>
          <w:sz w:val="22"/>
        </w:rPr>
      </w:pPr>
    </w:p>
    <w:sectPr w:rsidR="00D1449D" w:rsidRPr="006F6FCC" w:rsidSect="006C2CD4">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6C26F" w14:textId="77777777" w:rsidR="006768B4" w:rsidRDefault="006768B4" w:rsidP="00D1449D">
      <w:r>
        <w:separator/>
      </w:r>
    </w:p>
  </w:endnote>
  <w:endnote w:type="continuationSeparator" w:id="0">
    <w:p w14:paraId="5D838987" w14:textId="77777777" w:rsidR="006768B4" w:rsidRDefault="006768B4" w:rsidP="00D1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D488D" w14:textId="09F9F1D8" w:rsidR="006C2CD4" w:rsidRPr="006C2CD4" w:rsidRDefault="006C2CD4">
    <w:pPr>
      <w:pStyle w:val="Footer"/>
      <w:tabs>
        <w:tab w:val="clear" w:pos="4680"/>
        <w:tab w:val="clear" w:pos="9360"/>
      </w:tabs>
      <w:jc w:val="center"/>
      <w:rPr>
        <w:caps/>
        <w:noProof/>
      </w:rPr>
    </w:pPr>
    <w:r w:rsidRPr="006C2CD4">
      <w:rPr>
        <w:caps/>
      </w:rPr>
      <w:fldChar w:fldCharType="begin"/>
    </w:r>
    <w:r w:rsidRPr="006C2CD4">
      <w:rPr>
        <w:caps/>
      </w:rPr>
      <w:instrText xml:space="preserve"> PAGE   \* MERGEFORMAT </w:instrText>
    </w:r>
    <w:r w:rsidRPr="006C2CD4">
      <w:rPr>
        <w:caps/>
      </w:rPr>
      <w:fldChar w:fldCharType="separate"/>
    </w:r>
    <w:r w:rsidR="00AD5226">
      <w:rPr>
        <w:caps/>
        <w:noProof/>
      </w:rPr>
      <w:t>2</w:t>
    </w:r>
    <w:r w:rsidRPr="006C2CD4">
      <w:rPr>
        <w:caps/>
        <w:noProof/>
      </w:rPr>
      <w:fldChar w:fldCharType="end"/>
    </w:r>
  </w:p>
  <w:p w14:paraId="65D4B5B1" w14:textId="77777777" w:rsidR="006C2CD4" w:rsidRDefault="006C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C176E" w14:textId="6B399FED" w:rsidR="00476FA9" w:rsidRPr="006C2CD4" w:rsidRDefault="00476FA9">
    <w:pPr>
      <w:pStyle w:val="Footer"/>
      <w:tabs>
        <w:tab w:val="clear" w:pos="4680"/>
        <w:tab w:val="clear" w:pos="9360"/>
      </w:tabs>
      <w:jc w:val="center"/>
      <w:rPr>
        <w:caps/>
        <w:noProof/>
      </w:rPr>
    </w:pPr>
    <w:r w:rsidRPr="006C2CD4">
      <w:rPr>
        <w:caps/>
      </w:rPr>
      <w:fldChar w:fldCharType="begin"/>
    </w:r>
    <w:r w:rsidRPr="006C2CD4">
      <w:rPr>
        <w:caps/>
      </w:rPr>
      <w:instrText xml:space="preserve"> PAGE   \* MERGEFORMAT </w:instrText>
    </w:r>
    <w:r w:rsidRPr="006C2CD4">
      <w:rPr>
        <w:caps/>
      </w:rPr>
      <w:fldChar w:fldCharType="separate"/>
    </w:r>
    <w:r w:rsidR="00AD5226">
      <w:rPr>
        <w:caps/>
        <w:noProof/>
      </w:rPr>
      <w:t>1</w:t>
    </w:r>
    <w:r w:rsidRPr="006C2CD4">
      <w:rPr>
        <w:caps/>
        <w:noProof/>
      </w:rPr>
      <w:fldChar w:fldCharType="end"/>
    </w:r>
  </w:p>
  <w:p w14:paraId="2B128D9A" w14:textId="77777777" w:rsidR="00476FA9" w:rsidRDefault="0047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4DBE" w14:textId="77777777" w:rsidR="006768B4" w:rsidRDefault="006768B4" w:rsidP="00D1449D">
      <w:r>
        <w:separator/>
      </w:r>
    </w:p>
  </w:footnote>
  <w:footnote w:type="continuationSeparator" w:id="0">
    <w:p w14:paraId="50915425" w14:textId="77777777" w:rsidR="006768B4" w:rsidRDefault="006768B4" w:rsidP="00D1449D">
      <w:r>
        <w:continuationSeparator/>
      </w:r>
    </w:p>
  </w:footnote>
  <w:footnote w:id="1">
    <w:p w14:paraId="7B329FA2" w14:textId="77777777" w:rsidR="00D1449D" w:rsidRPr="00827995" w:rsidRDefault="00D1449D" w:rsidP="00D1449D">
      <w:pPr>
        <w:pStyle w:val="FootnoteText"/>
      </w:pPr>
      <w:r w:rsidRPr="00827995">
        <w:rPr>
          <w:rStyle w:val="FootnoteReference"/>
        </w:rPr>
        <w:footnoteRef/>
      </w:r>
      <w:r w:rsidRPr="00827995">
        <w:t xml:space="preserve"> See the IUCN website for further details on the population assessment: </w:t>
      </w:r>
      <w:hyperlink r:id="rId1" w:history="1">
        <w:r w:rsidRPr="00827995">
          <w:rPr>
            <w:rStyle w:val="Hyperlink"/>
          </w:rPr>
          <w:t>http://www.iucnredlist.org/details/91209505/0</w:t>
        </w:r>
      </w:hyperlink>
      <w:r w:rsidRPr="0082799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3A81" w14:textId="0F79ABD0" w:rsidR="006C2CD4" w:rsidRPr="006C2CD4" w:rsidRDefault="006C2CD4" w:rsidP="006C2CD4">
    <w:pPr>
      <w:pStyle w:val="Header"/>
      <w:rPr>
        <w:i/>
        <w:u w:val="single"/>
      </w:rPr>
    </w:pPr>
    <w:r w:rsidRPr="006C2CD4">
      <w:rPr>
        <w:i/>
        <w:u w:val="single"/>
      </w:rPr>
      <w:t xml:space="preserve">CMS/Sharks/MOS3/Inf.15i    </w:t>
    </w:r>
    <w:r>
      <w:rPr>
        <w:i/>
        <w:u w:val="single"/>
      </w:rPr>
      <w:t xml:space="preserve">                                                                                                                                       </w:t>
    </w:r>
    <w:r w:rsidRPr="006C2CD4">
      <w:rPr>
        <w:i/>
        <w:u w:val="single"/>
      </w:rPr>
      <w:t xml:space="preserve">    </w:t>
    </w:r>
    <w:r w:rsidRPr="006C2CD4">
      <w:rPr>
        <w:i/>
        <w:color w:val="FFFFFF" w:themeColor="background1"/>
        <w:u w:val="single"/>
      </w:rPr>
      <w:t>.</w:t>
    </w:r>
    <w:r w:rsidRPr="006C2CD4">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A55C8" w14:textId="5632A1C8" w:rsidR="006C2CD4" w:rsidRPr="006C2CD4" w:rsidRDefault="006C2CD4">
    <w:pPr>
      <w:pStyle w:val="Header"/>
      <w:rPr>
        <w:i/>
        <w:u w:val="single"/>
      </w:rPr>
    </w:pPr>
    <w:r w:rsidRPr="006C2CD4">
      <w:rPr>
        <w:i/>
        <w:u w:val="single"/>
      </w:rPr>
      <w:t xml:space="preserve">                                                                                                                                                CMS/Sharks/MOS3/Inf.15i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F01"/>
    <w:multiLevelType w:val="hybridMultilevel"/>
    <w:tmpl w:val="89FA9FF4"/>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F59C8"/>
    <w:multiLevelType w:val="hybridMultilevel"/>
    <w:tmpl w:val="18A013AE"/>
    <w:lvl w:ilvl="0" w:tplc="9B0A4D8E">
      <w:start w:val="1"/>
      <w:numFmt w:val="decimal"/>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76455"/>
    <w:multiLevelType w:val="hybridMultilevel"/>
    <w:tmpl w:val="CB2CF4A8"/>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14C01"/>
    <w:multiLevelType w:val="hybridMultilevel"/>
    <w:tmpl w:val="9FECCEEE"/>
    <w:lvl w:ilvl="0" w:tplc="22289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F7A69"/>
    <w:multiLevelType w:val="hybridMultilevel"/>
    <w:tmpl w:val="88BAB16E"/>
    <w:lvl w:ilvl="0" w:tplc="22289BEC">
      <w:start w:val="1"/>
      <w:numFmt w:val="bullet"/>
      <w:lvlText w:val=""/>
      <w:lvlJc w:val="left"/>
      <w:pPr>
        <w:ind w:left="780" w:hanging="360"/>
      </w:pPr>
      <w:rPr>
        <w:rFonts w:ascii="Symbol" w:hAnsi="Symbol" w:hint="default"/>
        <w:color w:val="auto"/>
        <w:sz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C32287D"/>
    <w:multiLevelType w:val="hybridMultilevel"/>
    <w:tmpl w:val="38A2F91E"/>
    <w:lvl w:ilvl="0" w:tplc="22289BE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6E3E65"/>
    <w:multiLevelType w:val="hybridMultilevel"/>
    <w:tmpl w:val="C8E6C088"/>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3E5350"/>
    <w:multiLevelType w:val="hybridMultilevel"/>
    <w:tmpl w:val="A42C987A"/>
    <w:lvl w:ilvl="0" w:tplc="0C2EB482">
      <w:start w:val="1"/>
      <w:numFmt w:val="lowerLetter"/>
      <w:lvlText w:val="%1)"/>
      <w:lvlJc w:val="left"/>
      <w:pPr>
        <w:ind w:left="288" w:hanging="288"/>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E53B3"/>
    <w:multiLevelType w:val="hybridMultilevel"/>
    <w:tmpl w:val="98D0FE94"/>
    <w:lvl w:ilvl="0" w:tplc="22289B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D7299E"/>
    <w:multiLevelType w:val="hybridMultilevel"/>
    <w:tmpl w:val="135ADADC"/>
    <w:lvl w:ilvl="0" w:tplc="22289B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411857"/>
    <w:multiLevelType w:val="hybridMultilevel"/>
    <w:tmpl w:val="2C08AE56"/>
    <w:lvl w:ilvl="0" w:tplc="22289BE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21ABA"/>
    <w:multiLevelType w:val="hybridMultilevel"/>
    <w:tmpl w:val="F5E6177E"/>
    <w:lvl w:ilvl="0" w:tplc="22289BEC">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A2DA4"/>
    <w:multiLevelType w:val="hybridMultilevel"/>
    <w:tmpl w:val="A16AD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1"/>
  </w:num>
  <w:num w:numId="5">
    <w:abstractNumId w:val="4"/>
  </w:num>
  <w:num w:numId="6">
    <w:abstractNumId w:val="10"/>
  </w:num>
  <w:num w:numId="7">
    <w:abstractNumId w:val="3"/>
  </w:num>
  <w:num w:numId="8">
    <w:abstractNumId w:val="6"/>
  </w:num>
  <w:num w:numId="9">
    <w:abstractNumId w:val="2"/>
  </w:num>
  <w:num w:numId="10">
    <w:abstractNumId w:val="0"/>
  </w:num>
  <w:num w:numId="11">
    <w:abstractNumId w:val="7"/>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9D"/>
    <w:rsid w:val="000413D3"/>
    <w:rsid w:val="00073109"/>
    <w:rsid w:val="0019726A"/>
    <w:rsid w:val="001B1D12"/>
    <w:rsid w:val="002336DA"/>
    <w:rsid w:val="003A0C62"/>
    <w:rsid w:val="00476FA9"/>
    <w:rsid w:val="004D7892"/>
    <w:rsid w:val="00504EF1"/>
    <w:rsid w:val="00556531"/>
    <w:rsid w:val="0059662B"/>
    <w:rsid w:val="005A35E1"/>
    <w:rsid w:val="005B275F"/>
    <w:rsid w:val="005B28D0"/>
    <w:rsid w:val="005B2ED0"/>
    <w:rsid w:val="006768B4"/>
    <w:rsid w:val="006C2CD4"/>
    <w:rsid w:val="006F6FCC"/>
    <w:rsid w:val="0078124B"/>
    <w:rsid w:val="007847E6"/>
    <w:rsid w:val="008102D6"/>
    <w:rsid w:val="00827995"/>
    <w:rsid w:val="00920555"/>
    <w:rsid w:val="00926262"/>
    <w:rsid w:val="00937D62"/>
    <w:rsid w:val="009A10C2"/>
    <w:rsid w:val="009B65F8"/>
    <w:rsid w:val="00A4345F"/>
    <w:rsid w:val="00A90DA4"/>
    <w:rsid w:val="00AB4381"/>
    <w:rsid w:val="00AD5226"/>
    <w:rsid w:val="00B42D57"/>
    <w:rsid w:val="00C353AE"/>
    <w:rsid w:val="00CC5DD6"/>
    <w:rsid w:val="00CE36F4"/>
    <w:rsid w:val="00CF13E2"/>
    <w:rsid w:val="00D039B4"/>
    <w:rsid w:val="00D1449D"/>
    <w:rsid w:val="00D15F5A"/>
    <w:rsid w:val="00D4718D"/>
    <w:rsid w:val="00DC1393"/>
    <w:rsid w:val="00E40C5A"/>
    <w:rsid w:val="00E42593"/>
    <w:rsid w:val="00FB2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1C713"/>
  <w15:chartTrackingRefBased/>
  <w15:docId w15:val="{E2459C69-D91E-4686-B925-5597D6F4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MS normal text body"/>
    <w:qFormat/>
    <w:rsid w:val="00D1449D"/>
    <w:pPr>
      <w:widowControl w:val="0"/>
      <w:autoSpaceDE w:val="0"/>
      <w:autoSpaceDN w:val="0"/>
      <w:adjustRightInd w:val="0"/>
      <w:spacing w:after="0" w:line="240" w:lineRule="auto"/>
    </w:pPr>
    <w:rPr>
      <w:rFonts w:ascii="Arial" w:eastAsia="Times New Roman" w:hAnsi="Arial"/>
      <w:sz w:val="18"/>
      <w:szCs w:val="24"/>
    </w:rPr>
  </w:style>
  <w:style w:type="paragraph" w:styleId="Heading2">
    <w:name w:val="heading 2"/>
    <w:basedOn w:val="Normal"/>
    <w:next w:val="Normal"/>
    <w:link w:val="Heading2Char"/>
    <w:uiPriority w:val="9"/>
    <w:qFormat/>
    <w:rsid w:val="00D1449D"/>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
    <w:unhideWhenUsed/>
    <w:qFormat/>
    <w:rsid w:val="00D1449D"/>
    <w:pPr>
      <w:keepNext/>
      <w:keepLines/>
      <w:widowControl/>
      <w:autoSpaceDE/>
      <w:autoSpaceDN/>
      <w:adjustRightInd/>
      <w:spacing w:before="40" w:line="249" w:lineRule="auto"/>
      <w:ind w:left="10" w:right="65" w:hanging="10"/>
      <w:jc w:val="both"/>
      <w:outlineLvl w:val="2"/>
    </w:pPr>
    <w:rPr>
      <w:rFonts w:asciiTheme="majorHAnsi" w:eastAsiaTheme="majorEastAsia" w:hAnsiTheme="majorHAnsi" w:cstheme="majorBidi"/>
      <w:color w:val="1F3763" w:themeColor="accent1" w:themeShade="7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7D62"/>
    <w:rPr>
      <w:sz w:val="16"/>
      <w:szCs w:val="16"/>
    </w:rPr>
  </w:style>
  <w:style w:type="character" w:customStyle="1" w:styleId="Heading2Char">
    <w:name w:val="Heading 2 Char"/>
    <w:basedOn w:val="DefaultParagraphFont"/>
    <w:link w:val="Heading2"/>
    <w:uiPriority w:val="9"/>
    <w:rsid w:val="00D1449D"/>
    <w:rPr>
      <w:rFonts w:ascii="Arial" w:eastAsia="Times New Roman" w:hAnsi="Arial"/>
      <w:b/>
      <w:bCs/>
      <w:sz w:val="36"/>
      <w:szCs w:val="24"/>
    </w:rPr>
  </w:style>
  <w:style w:type="character" w:customStyle="1" w:styleId="Heading3Char">
    <w:name w:val="Heading 3 Char"/>
    <w:basedOn w:val="DefaultParagraphFont"/>
    <w:link w:val="Heading3"/>
    <w:uiPriority w:val="9"/>
    <w:rsid w:val="00D1449D"/>
    <w:rPr>
      <w:rFonts w:asciiTheme="majorHAnsi" w:eastAsiaTheme="majorEastAsia" w:hAnsiTheme="majorHAnsi" w:cstheme="majorBidi"/>
      <w:color w:val="1F3763" w:themeColor="accent1" w:themeShade="7F"/>
      <w:sz w:val="24"/>
      <w:szCs w:val="24"/>
      <w:lang w:val="en-GB"/>
    </w:rPr>
  </w:style>
  <w:style w:type="character" w:styleId="Hyperlink">
    <w:name w:val="Hyperlink"/>
    <w:uiPriority w:val="99"/>
    <w:rsid w:val="00D1449D"/>
    <w:rPr>
      <w:rFonts w:cs="Times New Roman"/>
      <w:color w:val="0000FF"/>
      <w:u w:val="single"/>
    </w:rPr>
  </w:style>
  <w:style w:type="paragraph" w:styleId="ListParagraph">
    <w:name w:val="List Paragraph"/>
    <w:basedOn w:val="Normal"/>
    <w:link w:val="ListParagraphChar"/>
    <w:uiPriority w:val="34"/>
    <w:qFormat/>
    <w:rsid w:val="00D1449D"/>
    <w:pPr>
      <w:ind w:left="720"/>
      <w:contextualSpacing/>
    </w:pPr>
  </w:style>
  <w:style w:type="table" w:styleId="TableGrid">
    <w:name w:val="Table Grid"/>
    <w:basedOn w:val="TableNormal"/>
    <w:uiPriority w:val="39"/>
    <w:rsid w:val="00D1449D"/>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1449D"/>
    <w:rPr>
      <w:sz w:val="20"/>
      <w:szCs w:val="20"/>
    </w:rPr>
  </w:style>
  <w:style w:type="character" w:customStyle="1" w:styleId="CommentTextChar">
    <w:name w:val="Comment Text Char"/>
    <w:basedOn w:val="DefaultParagraphFont"/>
    <w:link w:val="CommentText"/>
    <w:uiPriority w:val="99"/>
    <w:rsid w:val="00D1449D"/>
    <w:rPr>
      <w:rFonts w:ascii="Arial" w:eastAsia="Times New Roman" w:hAnsi="Arial"/>
      <w:sz w:val="20"/>
      <w:szCs w:val="20"/>
    </w:rPr>
  </w:style>
  <w:style w:type="character" w:styleId="FootnoteReference">
    <w:name w:val="footnote reference"/>
    <w:uiPriority w:val="99"/>
    <w:rsid w:val="00D1449D"/>
  </w:style>
  <w:style w:type="paragraph" w:styleId="FootnoteText">
    <w:name w:val="footnote text"/>
    <w:basedOn w:val="Normal"/>
    <w:link w:val="FootnoteTextChar"/>
    <w:uiPriority w:val="99"/>
    <w:rsid w:val="00D1449D"/>
    <w:rPr>
      <w:rFonts w:ascii="Times New Roman" w:hAnsi="Times New Roman"/>
      <w:sz w:val="20"/>
      <w:szCs w:val="20"/>
    </w:rPr>
  </w:style>
  <w:style w:type="character" w:customStyle="1" w:styleId="FootnoteTextChar">
    <w:name w:val="Footnote Text Char"/>
    <w:basedOn w:val="DefaultParagraphFont"/>
    <w:link w:val="FootnoteText"/>
    <w:uiPriority w:val="99"/>
    <w:rsid w:val="00D1449D"/>
    <w:rPr>
      <w:rFonts w:ascii="Times New Roman" w:eastAsia="Times New Roman" w:hAnsi="Times New Roman"/>
      <w:sz w:val="20"/>
      <w:szCs w:val="20"/>
    </w:rPr>
  </w:style>
  <w:style w:type="character" w:customStyle="1" w:styleId="ListParagraphChar">
    <w:name w:val="List Paragraph Char"/>
    <w:basedOn w:val="DefaultParagraphFont"/>
    <w:link w:val="ListParagraph"/>
    <w:uiPriority w:val="34"/>
    <w:rsid w:val="00D1449D"/>
    <w:rPr>
      <w:rFonts w:ascii="Arial" w:eastAsia="Times New Roman" w:hAnsi="Arial"/>
      <w:sz w:val="18"/>
      <w:szCs w:val="24"/>
    </w:rPr>
  </w:style>
  <w:style w:type="paragraph" w:styleId="NormalWeb">
    <w:name w:val="Normal (Web)"/>
    <w:basedOn w:val="Normal"/>
    <w:uiPriority w:val="99"/>
    <w:unhideWhenUsed/>
    <w:rsid w:val="00D1449D"/>
    <w:pPr>
      <w:widowControl/>
      <w:autoSpaceDE/>
      <w:autoSpaceDN/>
      <w:adjustRightInd/>
      <w:spacing w:before="100" w:beforeAutospacing="1" w:after="100" w:afterAutospacing="1"/>
    </w:pPr>
    <w:rPr>
      <w:rFonts w:ascii="Times New Roman" w:hAnsi="Times New Roman"/>
      <w:sz w:val="24"/>
    </w:rPr>
  </w:style>
  <w:style w:type="paragraph" w:customStyle="1" w:styleId="EndNoteBibliography">
    <w:name w:val="EndNote Bibliography"/>
    <w:basedOn w:val="Normal"/>
    <w:link w:val="EndNoteBibliographyZchn"/>
    <w:rsid w:val="00D1449D"/>
    <w:pPr>
      <w:widowControl/>
      <w:autoSpaceDE/>
      <w:autoSpaceDN/>
      <w:adjustRightInd/>
      <w:spacing w:after="12"/>
      <w:ind w:left="10" w:right="65" w:hanging="10"/>
      <w:jc w:val="both"/>
    </w:pPr>
    <w:rPr>
      <w:rFonts w:eastAsia="Arial" w:cs="Arial"/>
      <w:noProof/>
      <w:color w:val="000000"/>
      <w:sz w:val="20"/>
      <w:szCs w:val="22"/>
    </w:rPr>
  </w:style>
  <w:style w:type="character" w:customStyle="1" w:styleId="EndNoteBibliographyZchn">
    <w:name w:val="EndNote Bibliography Zchn"/>
    <w:basedOn w:val="DefaultParagraphFont"/>
    <w:link w:val="EndNoteBibliography"/>
    <w:rsid w:val="00D1449D"/>
    <w:rPr>
      <w:rFonts w:ascii="Arial" w:eastAsia="Arial" w:hAnsi="Arial" w:cs="Arial"/>
      <w:noProof/>
      <w:color w:val="000000"/>
      <w:sz w:val="20"/>
    </w:rPr>
  </w:style>
  <w:style w:type="character" w:styleId="Emphasis">
    <w:name w:val="Emphasis"/>
    <w:basedOn w:val="DefaultParagraphFont"/>
    <w:uiPriority w:val="20"/>
    <w:qFormat/>
    <w:rsid w:val="00D1449D"/>
    <w:rPr>
      <w:i/>
      <w:iCs/>
    </w:rPr>
  </w:style>
  <w:style w:type="character" w:customStyle="1" w:styleId="sciname">
    <w:name w:val="sciname"/>
    <w:basedOn w:val="DefaultParagraphFont"/>
    <w:rsid w:val="00D1449D"/>
  </w:style>
  <w:style w:type="paragraph" w:styleId="BalloonText">
    <w:name w:val="Balloon Text"/>
    <w:basedOn w:val="Normal"/>
    <w:link w:val="BalloonTextChar"/>
    <w:uiPriority w:val="99"/>
    <w:semiHidden/>
    <w:unhideWhenUsed/>
    <w:rsid w:val="00D1449D"/>
    <w:rPr>
      <w:rFonts w:ascii="Segoe UI" w:hAnsi="Segoe UI" w:cs="Segoe UI"/>
      <w:szCs w:val="18"/>
    </w:rPr>
  </w:style>
  <w:style w:type="character" w:customStyle="1" w:styleId="BalloonTextChar">
    <w:name w:val="Balloon Text Char"/>
    <w:basedOn w:val="DefaultParagraphFont"/>
    <w:link w:val="BalloonText"/>
    <w:uiPriority w:val="99"/>
    <w:semiHidden/>
    <w:rsid w:val="00D1449D"/>
    <w:rPr>
      <w:rFonts w:ascii="Segoe UI" w:eastAsia="Times New Roman" w:hAnsi="Segoe UI" w:cs="Segoe UI"/>
      <w:sz w:val="18"/>
      <w:szCs w:val="18"/>
    </w:rPr>
  </w:style>
  <w:style w:type="paragraph" w:styleId="Header">
    <w:name w:val="header"/>
    <w:basedOn w:val="Normal"/>
    <w:link w:val="HeaderChar"/>
    <w:uiPriority w:val="99"/>
    <w:unhideWhenUsed/>
    <w:rsid w:val="00476FA9"/>
    <w:pPr>
      <w:tabs>
        <w:tab w:val="center" w:pos="4680"/>
        <w:tab w:val="right" w:pos="9360"/>
      </w:tabs>
    </w:pPr>
  </w:style>
  <w:style w:type="character" w:customStyle="1" w:styleId="HeaderChar">
    <w:name w:val="Header Char"/>
    <w:basedOn w:val="DefaultParagraphFont"/>
    <w:link w:val="Header"/>
    <w:uiPriority w:val="99"/>
    <w:rsid w:val="00476FA9"/>
    <w:rPr>
      <w:rFonts w:ascii="Arial" w:eastAsia="Times New Roman" w:hAnsi="Arial"/>
      <w:sz w:val="18"/>
      <w:szCs w:val="24"/>
    </w:rPr>
  </w:style>
  <w:style w:type="paragraph" w:styleId="Footer">
    <w:name w:val="footer"/>
    <w:basedOn w:val="Normal"/>
    <w:link w:val="FooterChar"/>
    <w:uiPriority w:val="99"/>
    <w:unhideWhenUsed/>
    <w:rsid w:val="00476FA9"/>
    <w:pPr>
      <w:tabs>
        <w:tab w:val="center" w:pos="4680"/>
        <w:tab w:val="right" w:pos="9360"/>
      </w:tabs>
    </w:pPr>
  </w:style>
  <w:style w:type="character" w:customStyle="1" w:styleId="FooterChar">
    <w:name w:val="Footer Char"/>
    <w:basedOn w:val="DefaultParagraphFont"/>
    <w:link w:val="Footer"/>
    <w:uiPriority w:val="99"/>
    <w:rsid w:val="00476FA9"/>
    <w:rPr>
      <w:rFonts w:ascii="Arial" w:eastAsia="Times New Roman" w:hAnsi="Arial"/>
      <w:sz w:val="18"/>
      <w:szCs w:val="24"/>
    </w:rPr>
  </w:style>
  <w:style w:type="paragraph" w:styleId="CommentSubject">
    <w:name w:val="annotation subject"/>
    <w:basedOn w:val="CommentText"/>
    <w:next w:val="CommentText"/>
    <w:link w:val="CommentSubjectChar"/>
    <w:uiPriority w:val="99"/>
    <w:semiHidden/>
    <w:unhideWhenUsed/>
    <w:rsid w:val="007847E6"/>
    <w:rPr>
      <w:b/>
      <w:bCs/>
    </w:rPr>
  </w:style>
  <w:style w:type="character" w:customStyle="1" w:styleId="CommentSubjectChar">
    <w:name w:val="Comment Subject Char"/>
    <w:basedOn w:val="CommentTextChar"/>
    <w:link w:val="CommentSubject"/>
    <w:uiPriority w:val="99"/>
    <w:semiHidden/>
    <w:rsid w:val="007847E6"/>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o.org/gfcm/reports/technical-meetings/detail/en/c/879801/" TargetMode="External"/><Relationship Id="rId4" Type="http://schemas.openxmlformats.org/officeDocument/2006/relationships/webSettings" Target="webSettings.xml"/><Relationship Id="rId9" Type="http://schemas.openxmlformats.org/officeDocument/2006/relationships/hyperlink" Target="http://dx.doi.org/10.2305/IUCN.UK.2016-1.RLTS.T91209505A2898271.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ucnredlist.org/details/912095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Pauly</dc:creator>
  <cp:keywords/>
  <dc:description/>
  <cp:lastModifiedBy>Andrea Pauly</cp:lastModifiedBy>
  <cp:revision>3</cp:revision>
  <dcterms:created xsi:type="dcterms:W3CDTF">2018-11-09T12:29:00Z</dcterms:created>
  <dcterms:modified xsi:type="dcterms:W3CDTF">2018-11-09T12:35:00Z</dcterms:modified>
</cp:coreProperties>
</file>